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60"/>
      </w:pPr>
      <w:r>
        <w:rPr>
          <w:rFonts w:ascii="Calibri" w:hAnsi="Calibri"/>
          <w:b/>
          <w:color w:val="00A6C8"/>
          <w:sz w:val="18"/>
        </w:rPr>
        <w:t>CONTRACTVOORWAARDEN</w:t>
      </w:r>
    </w:p>
    <w:p>
      <w:pPr>
        <w:spacing w:after="100"/>
      </w:pPr>
      <w:r>
        <w:rPr>
          <w:rFonts w:ascii="Calibri" w:hAnsi="Calibri"/>
          <w:b/>
          <w:color w:val="17324D"/>
          <w:sz w:val="50"/>
        </w:rPr>
        <w:t>Algemene B2B-voorwaarden Brightness</w:t>
      </w:r>
    </w:p>
    <w:p>
      <w:pPr>
        <w:spacing w:after="320"/>
      </w:pPr>
      <w:r>
        <w:rPr>
          <w:rFonts w:ascii="Calibri" w:hAnsi="Calibri"/>
          <w:color w:val="4B5563"/>
          <w:sz w:val="25"/>
        </w:rPr>
        <w:t>SaaS, softwareontwikkeling, hosting, onderhoud, support, AI-koppelingen en gerelateerde zakelijke diensten</w:t>
      </w:r>
    </w:p>
    <w:tbl>
      <w:tblPr>
        <w:tblStyle w:val="TableGrid"/>
        <w:tblW w:type="dxa" w:w="9411"/>
        <w:jc w:val="left"/>
        <w:tblLayout w:type="fixed"/>
        <w:tblLook w:firstColumn="1" w:firstRow="1" w:lastColumn="0" w:lastRow="0" w:noHBand="0" w:noVBand="1" w:val="04A0"/>
        <w:tblInd w:w="120" w:type="dxa"/>
      </w:tblPr>
      <w:tblGrid>
        <w:gridCol w:w="2100"/>
        <w:gridCol w:w="7311"/>
      </w:tblGrid>
      <w:tr>
        <w:trPr>
          <w:cantSplit/>
        </w:trPr>
        <w:tc>
          <w:tcPr>
            <w:tcW w:type="dxa" w:w="2100"/>
            <w:shd w:fill="EAF4F7"/>
            <w:tcMar>
              <w:top w:w="90" w:type="dxa"/>
              <w:start w:w="120" w:type="dxa"/>
              <w:bottom w:w="90" w:type="dxa"/>
              <w:end w:w="120" w:type="dxa"/>
            </w:tcMar>
            <w:vAlign w:val="center"/>
          </w:tcPr>
          <w:p>
            <w:pPr>
              <w:spacing w:after="0"/>
            </w:pPr>
            <w:r>
              <w:rPr>
                <w:rFonts w:ascii="Calibri" w:hAnsi="Calibri"/>
                <w:b/>
                <w:color w:val="17324D"/>
                <w:sz w:val="18"/>
              </w:rPr>
              <w:t>Versie</w:t>
            </w:r>
          </w:p>
        </w:tc>
        <w:tc>
          <w:tcPr>
            <w:tcW w:type="dxa" w:w="7311"/>
            <w:tcMar>
              <w:top w:w="90" w:type="dxa"/>
              <w:start w:w="120" w:type="dxa"/>
              <w:bottom w:w="90" w:type="dxa"/>
              <w:end w:w="120" w:type="dxa"/>
            </w:tcMar>
            <w:vAlign w:val="center"/>
          </w:tcPr>
          <w:p>
            <w:pPr>
              <w:spacing w:after="0"/>
            </w:pPr>
            <w:r>
              <w:rPr>
                <w:rFonts w:ascii="Calibri" w:hAnsi="Calibri"/>
                <w:b w:val="0"/>
                <w:color w:val="111827"/>
                <w:sz w:val="18"/>
              </w:rPr>
              <w:t>3.0</w:t>
            </w:r>
          </w:p>
        </w:tc>
      </w:tr>
      <w:tr>
        <w:trPr>
          <w:cantSplit/>
        </w:trPr>
        <w:tc>
          <w:tcPr>
            <w:tcW w:type="dxa" w:w="2100"/>
            <w:shd w:fill="EAF4F7"/>
            <w:tcMar>
              <w:top w:w="90" w:type="dxa"/>
              <w:start w:w="120" w:type="dxa"/>
              <w:bottom w:w="90" w:type="dxa"/>
              <w:end w:w="120" w:type="dxa"/>
            </w:tcMar>
            <w:vAlign w:val="center"/>
          </w:tcPr>
          <w:p>
            <w:pPr>
              <w:spacing w:after="0"/>
            </w:pPr>
            <w:r>
              <w:rPr>
                <w:rFonts w:ascii="Calibri" w:hAnsi="Calibri"/>
                <w:b/>
                <w:color w:val="17324D"/>
                <w:sz w:val="18"/>
              </w:rPr>
              <w:t>Datum</w:t>
            </w:r>
          </w:p>
        </w:tc>
        <w:tc>
          <w:tcPr>
            <w:tcW w:type="dxa" w:w="7311"/>
            <w:tcMar>
              <w:top w:w="90" w:type="dxa"/>
              <w:start w:w="120" w:type="dxa"/>
              <w:bottom w:w="90" w:type="dxa"/>
              <w:end w:w="120" w:type="dxa"/>
            </w:tcMar>
            <w:vAlign w:val="center"/>
          </w:tcPr>
          <w:p>
            <w:pPr>
              <w:spacing w:after="0"/>
            </w:pPr>
            <w:r>
              <w:rPr>
                <w:rFonts w:ascii="Calibri" w:hAnsi="Calibri"/>
                <w:b w:val="0"/>
                <w:color w:val="111827"/>
                <w:sz w:val="18"/>
              </w:rPr>
              <w:t>27 augustus 2026</w:t>
            </w:r>
          </w:p>
        </w:tc>
      </w:tr>
      <w:tr>
        <w:trPr>
          <w:cantSplit/>
        </w:trPr>
        <w:tc>
          <w:tcPr>
            <w:tcW w:type="dxa" w:w="2100"/>
            <w:shd w:fill="EAF4F7"/>
            <w:tcMar>
              <w:top w:w="90" w:type="dxa"/>
              <w:start w:w="120" w:type="dxa"/>
              <w:bottom w:w="90" w:type="dxa"/>
              <w:end w:w="120" w:type="dxa"/>
            </w:tcMar>
            <w:vAlign w:val="center"/>
          </w:tcPr>
          <w:p>
            <w:pPr>
              <w:spacing w:after="0"/>
            </w:pPr>
            <w:r>
              <w:rPr>
                <w:rFonts w:ascii="Calibri" w:hAnsi="Calibri"/>
                <w:b/>
                <w:color w:val="17324D"/>
                <w:sz w:val="18"/>
              </w:rPr>
              <w:t>Contact</w:t>
            </w:r>
          </w:p>
        </w:tc>
        <w:tc>
          <w:tcPr>
            <w:tcW w:type="dxa" w:w="7311"/>
            <w:tcMar>
              <w:top w:w="90" w:type="dxa"/>
              <w:start w:w="120" w:type="dxa"/>
              <w:bottom w:w="90" w:type="dxa"/>
              <w:end w:w="120" w:type="dxa"/>
            </w:tcMar>
            <w:vAlign w:val="center"/>
          </w:tcPr>
          <w:p>
            <w:pPr>
              <w:spacing w:after="0"/>
            </w:pPr>
            <w:r>
              <w:rPr>
                <w:rFonts w:ascii="Calibri" w:hAnsi="Calibri"/>
                <w:b w:val="0"/>
                <w:color w:val="111827"/>
                <w:sz w:val="18"/>
              </w:rPr>
              <w:t>support@brightness-group.com | +31 23 557 4211</w:t>
            </w:r>
          </w:p>
        </w:tc>
      </w:tr>
      <w:tr>
        <w:trPr>
          <w:cantSplit/>
        </w:trPr>
        <w:tc>
          <w:tcPr>
            <w:tcW w:type="dxa" w:w="2100"/>
            <w:shd w:fill="EAF4F7"/>
            <w:tcMar>
              <w:top w:w="90" w:type="dxa"/>
              <w:start w:w="120" w:type="dxa"/>
              <w:bottom w:w="90" w:type="dxa"/>
              <w:end w:w="120" w:type="dxa"/>
            </w:tcMar>
            <w:vAlign w:val="center"/>
          </w:tcPr>
          <w:p>
            <w:pPr>
              <w:spacing w:after="0"/>
            </w:pPr>
            <w:r>
              <w:rPr>
                <w:rFonts w:ascii="Calibri" w:hAnsi="Calibri"/>
                <w:b/>
                <w:color w:val="17324D"/>
                <w:sz w:val="18"/>
              </w:rPr>
              <w:t>Status</w:t>
            </w:r>
          </w:p>
        </w:tc>
        <w:tc>
          <w:tcPr>
            <w:tcW w:type="dxa" w:w="7311"/>
            <w:tcMar>
              <w:top w:w="90" w:type="dxa"/>
              <w:start w:w="120" w:type="dxa"/>
              <w:bottom w:w="90" w:type="dxa"/>
              <w:end w:w="120" w:type="dxa"/>
            </w:tcMar>
            <w:vAlign w:val="center"/>
          </w:tcPr>
          <w:p>
            <w:pPr>
              <w:spacing w:after="0"/>
            </w:pPr>
            <w:r>
              <w:rPr>
                <w:rFonts w:ascii="Calibri" w:hAnsi="Calibri"/>
                <w:b w:val="0"/>
                <w:color w:val="111827"/>
                <w:sz w:val="18"/>
              </w:rPr>
              <w:t>Uitsluitend voor zakelijke klanten en organisaties</w:t>
            </w:r>
          </w:p>
        </w:tc>
      </w:tr>
    </w:tbl>
    <w:p>
      <w:pPr>
        <w:spacing w:after="0"/>
      </w:pPr>
    </w:p>
    <w:tbl>
      <w:tblPr>
        <w:tblStyle w:val="TableGrid"/>
        <w:tblW w:type="dxa" w:w="9411"/>
        <w:jc w:val="left"/>
        <w:tblLayout w:type="fixed"/>
        <w:tblLook w:firstColumn="1" w:firstRow="1" w:lastColumn="0" w:lastRow="0" w:noHBand="0" w:noVBand="1" w:val="04A0"/>
        <w:tblInd w:w="120" w:type="dxa"/>
      </w:tblPr>
      <w:tblGrid>
        <w:gridCol w:w="9411"/>
      </w:tblGrid>
      <w:tr>
        <w:trPr>
          <w:cantSplit/>
        </w:trPr>
        <w:tc>
          <w:tcPr>
            <w:tcW w:type="dxa" w:w="9411"/>
            <w:shd w:fill="EAF4F7"/>
            <w:tcMar>
              <w:top w:w="90" w:type="dxa"/>
              <w:start w:w="120" w:type="dxa"/>
              <w:bottom w:w="90" w:type="dxa"/>
              <w:end w:w="120" w:type="dxa"/>
            </w:tcMar>
            <w:vAlign w:val="center"/>
          </w:tcPr>
          <w:p>
            <w:pPr>
              <w:spacing w:after="0"/>
            </w:pPr>
            <w:r>
              <w:rPr>
                <w:rFonts w:ascii="Calibri" w:hAnsi="Calibri"/>
                <w:b/>
                <w:color w:val="17324D"/>
                <w:sz w:val="19"/>
              </w:rPr>
              <w:t xml:space="preserve">Kernregel: </w:t>
            </w:r>
            <w:r>
              <w:rPr>
                <w:rFonts w:ascii="Calibri" w:hAnsi="Calibri"/>
                <w:sz w:val="19"/>
              </w:rPr>
              <w:t>Alleen de Brightness-entiteit die in de Offerte uitdrukkelijk als leverancier voor een Dienst is aangewezen, is contractpartij en verantwoordelijk voor die Dienst. Brightness Group B.V. is uitsluitend de holding/overkoepelende naam en is geen leverancier, medecontractant, garant of hoofdelijk aansprakelijke partij.</w:t>
            </w:r>
          </w:p>
        </w:tc>
      </w:tr>
    </w:tbl>
    <w:p>
      <w:pPr>
        <w:spacing w:after="0"/>
      </w:pPr>
    </w:p>
    <w:tbl>
      <w:tblPr>
        <w:tblStyle w:val="TableGrid"/>
        <w:tblW w:type="dxa" w:w="9411"/>
        <w:jc w:val="left"/>
        <w:tblLayout w:type="fixed"/>
        <w:tblLook w:firstColumn="1" w:firstRow="1" w:lastColumn="0" w:lastRow="0" w:noHBand="0" w:noVBand="1" w:val="04A0"/>
        <w:tblInd w:w="120" w:type="dxa"/>
      </w:tblPr>
      <w:tblGrid>
        <w:gridCol w:w="2050"/>
        <w:gridCol w:w="2450"/>
        <w:gridCol w:w="1250"/>
        <w:gridCol w:w="3661"/>
      </w:tblGrid>
      <w:tr>
        <w:trPr>
          <w:tblHeader w:val="true"/>
          <w:cantSplit/>
        </w:trPr>
        <w:tc>
          <w:tcPr>
            <w:tcW w:type="dxa" w:w="2050"/>
            <w:shd w:fill="17324D"/>
            <w:tcMar>
              <w:top w:w="90" w:type="dxa"/>
              <w:start w:w="120" w:type="dxa"/>
              <w:bottom w:w="90" w:type="dxa"/>
              <w:end w:w="120" w:type="dxa"/>
            </w:tcMar>
            <w:vAlign w:val="center"/>
          </w:tcPr>
          <w:p>
            <w:pPr>
              <w:spacing w:after="0"/>
            </w:pPr>
            <w:r>
              <w:rPr>
                <w:rFonts w:ascii="Calibri" w:hAnsi="Calibri"/>
                <w:b/>
                <w:color w:val="FFFFFF"/>
                <w:sz w:val="15"/>
              </w:rPr>
              <w:t>Juridische entiteit</w:t>
            </w:r>
          </w:p>
        </w:tc>
        <w:tc>
          <w:tcPr>
            <w:tcW w:type="dxa" w:w="2450"/>
            <w:shd w:fill="17324D"/>
            <w:tcMar>
              <w:top w:w="90" w:type="dxa"/>
              <w:start w:w="120" w:type="dxa"/>
              <w:bottom w:w="90" w:type="dxa"/>
              <w:end w:w="120" w:type="dxa"/>
            </w:tcMar>
            <w:vAlign w:val="center"/>
          </w:tcPr>
          <w:p>
            <w:pPr>
              <w:spacing w:after="0"/>
            </w:pPr>
            <w:r>
              <w:rPr>
                <w:rFonts w:ascii="Calibri" w:hAnsi="Calibri"/>
                <w:b/>
                <w:color w:val="FFFFFF"/>
                <w:sz w:val="15"/>
              </w:rPr>
              <w:t>Vestigingsadres</w:t>
            </w:r>
          </w:p>
        </w:tc>
        <w:tc>
          <w:tcPr>
            <w:tcW w:type="dxa" w:w="1250"/>
            <w:shd w:fill="17324D"/>
            <w:tcMar>
              <w:top w:w="90" w:type="dxa"/>
              <w:start w:w="120" w:type="dxa"/>
              <w:bottom w:w="90" w:type="dxa"/>
              <w:end w:w="120" w:type="dxa"/>
            </w:tcMar>
            <w:vAlign w:val="center"/>
          </w:tcPr>
          <w:p>
            <w:pPr>
              <w:spacing w:after="0"/>
            </w:pPr>
            <w:r>
              <w:rPr>
                <w:rFonts w:ascii="Calibri" w:hAnsi="Calibri"/>
                <w:b/>
                <w:color w:val="FFFFFF"/>
                <w:sz w:val="15"/>
              </w:rPr>
              <w:t>Registratie</w:t>
            </w:r>
          </w:p>
        </w:tc>
        <w:tc>
          <w:tcPr>
            <w:tcW w:type="dxa" w:w="3661"/>
            <w:shd w:fill="17324D"/>
            <w:tcMar>
              <w:top w:w="90" w:type="dxa"/>
              <w:start w:w="120" w:type="dxa"/>
              <w:bottom w:w="90" w:type="dxa"/>
              <w:end w:w="120" w:type="dxa"/>
            </w:tcMar>
            <w:vAlign w:val="center"/>
          </w:tcPr>
          <w:p>
            <w:pPr>
              <w:spacing w:after="0"/>
            </w:pPr>
            <w:r>
              <w:rPr>
                <w:rFonts w:ascii="Calibri" w:hAnsi="Calibri"/>
                <w:b/>
                <w:color w:val="FFFFFF"/>
                <w:sz w:val="15"/>
              </w:rPr>
              <w:t>Operationele rol</w:t>
            </w:r>
          </w:p>
        </w:tc>
      </w:tr>
      <w:tr>
        <w:trPr>
          <w:cantSplit/>
        </w:trPr>
        <w:tc>
          <w:tcPr>
            <w:tcW w:type="dxa" w:w="2050"/>
            <w:tcMar>
              <w:top w:w="90" w:type="dxa"/>
              <w:start w:w="120" w:type="dxa"/>
              <w:bottom w:w="90" w:type="dxa"/>
              <w:end w:w="120" w:type="dxa"/>
            </w:tcMar>
            <w:vAlign w:val="center"/>
          </w:tcPr>
          <w:p>
            <w:pPr>
              <w:spacing w:after="0"/>
            </w:pPr>
            <w:r>
              <w:rPr>
                <w:rFonts w:ascii="Calibri" w:hAnsi="Calibri"/>
                <w:b w:val="0"/>
                <w:color w:val="111827"/>
                <w:sz w:val="15"/>
              </w:rPr>
              <w:t>Brightness ICT B.V.</w:t>
            </w:r>
          </w:p>
        </w:tc>
        <w:tc>
          <w:tcPr>
            <w:tcW w:type="dxa" w:w="2450"/>
            <w:tcMar>
              <w:top w:w="90" w:type="dxa"/>
              <w:start w:w="120" w:type="dxa"/>
              <w:bottom w:w="90" w:type="dxa"/>
              <w:end w:w="120" w:type="dxa"/>
            </w:tcMar>
            <w:vAlign w:val="center"/>
          </w:tcPr>
          <w:p>
            <w:pPr>
              <w:spacing w:after="0"/>
            </w:pPr>
            <w:r>
              <w:rPr>
                <w:rFonts w:ascii="Calibri" w:hAnsi="Calibri"/>
                <w:b w:val="0"/>
                <w:color w:val="111827"/>
                <w:sz w:val="15"/>
              </w:rPr>
              <w:t>Graftermeerstraat 22c, 2131 AC Hoofddorp, Nederland</w:t>
            </w:r>
          </w:p>
        </w:tc>
        <w:tc>
          <w:tcPr>
            <w:tcW w:type="dxa" w:w="1250"/>
            <w:tcMar>
              <w:top w:w="90" w:type="dxa"/>
              <w:start w:w="120" w:type="dxa"/>
              <w:bottom w:w="90" w:type="dxa"/>
              <w:end w:w="120" w:type="dxa"/>
            </w:tcMar>
            <w:vAlign w:val="center"/>
          </w:tcPr>
          <w:p>
            <w:pPr>
              <w:spacing w:after="0"/>
            </w:pPr>
            <w:r>
              <w:rPr>
                <w:rFonts w:ascii="Calibri" w:hAnsi="Calibri"/>
                <w:b w:val="0"/>
                <w:color w:val="111827"/>
                <w:sz w:val="15"/>
              </w:rPr>
              <w:t>KvK 63772493</w:t>
            </w:r>
          </w:p>
        </w:tc>
        <w:tc>
          <w:tcPr>
            <w:tcW w:type="dxa" w:w="3661"/>
            <w:tcMar>
              <w:top w:w="90" w:type="dxa"/>
              <w:start w:w="120" w:type="dxa"/>
              <w:bottom w:w="90" w:type="dxa"/>
              <w:end w:w="120" w:type="dxa"/>
            </w:tcMar>
            <w:vAlign w:val="center"/>
          </w:tcPr>
          <w:p>
            <w:pPr>
              <w:spacing w:after="0"/>
            </w:pPr>
            <w:r>
              <w:rPr>
                <w:rFonts w:ascii="Calibri" w:hAnsi="Calibri"/>
                <w:b w:val="0"/>
                <w:color w:val="111827"/>
                <w:sz w:val="15"/>
              </w:rPr>
              <w:t>Beheerder van brightness-group.com; centrale groepsaanvragen; ontwikkeling, implementatie, configuratie en maatwerk.</w:t>
            </w:r>
          </w:p>
        </w:tc>
      </w:tr>
      <w:tr>
        <w:trPr>
          <w:cantSplit/>
        </w:trPr>
        <w:tc>
          <w:tcPr>
            <w:tcW w:type="dxa" w:w="2050"/>
            <w:tcMar>
              <w:top w:w="90" w:type="dxa"/>
              <w:start w:w="120" w:type="dxa"/>
              <w:bottom w:w="90" w:type="dxa"/>
              <w:end w:w="120" w:type="dxa"/>
            </w:tcMar>
            <w:vAlign w:val="center"/>
          </w:tcPr>
          <w:p>
            <w:pPr>
              <w:spacing w:after="0"/>
            </w:pPr>
            <w:r>
              <w:rPr>
                <w:rFonts w:ascii="Calibri" w:hAnsi="Calibri"/>
                <w:b w:val="0"/>
                <w:color w:val="111827"/>
                <w:sz w:val="15"/>
              </w:rPr>
              <w:t>Brightness Subscriptions B.V.</w:t>
            </w:r>
          </w:p>
        </w:tc>
        <w:tc>
          <w:tcPr>
            <w:tcW w:type="dxa" w:w="2450"/>
            <w:tcMar>
              <w:top w:w="90" w:type="dxa"/>
              <w:start w:w="120" w:type="dxa"/>
              <w:bottom w:w="90" w:type="dxa"/>
              <w:end w:w="120" w:type="dxa"/>
            </w:tcMar>
            <w:vAlign w:val="center"/>
          </w:tcPr>
          <w:p>
            <w:pPr>
              <w:spacing w:after="0"/>
            </w:pPr>
            <w:r>
              <w:rPr>
                <w:rFonts w:ascii="Calibri" w:hAnsi="Calibri"/>
                <w:b w:val="0"/>
                <w:color w:val="111827"/>
                <w:sz w:val="15"/>
              </w:rPr>
              <w:t>Graftermeerstraat 22c, 2131 AC Hoofddorp, Nederland</w:t>
            </w:r>
          </w:p>
        </w:tc>
        <w:tc>
          <w:tcPr>
            <w:tcW w:type="dxa" w:w="1250"/>
            <w:tcMar>
              <w:top w:w="90" w:type="dxa"/>
              <w:start w:w="120" w:type="dxa"/>
              <w:bottom w:w="90" w:type="dxa"/>
              <w:end w:w="120" w:type="dxa"/>
            </w:tcMar>
            <w:vAlign w:val="center"/>
          </w:tcPr>
          <w:p>
            <w:pPr>
              <w:spacing w:after="0"/>
            </w:pPr>
            <w:r>
              <w:rPr>
                <w:rFonts w:ascii="Calibri" w:hAnsi="Calibri"/>
                <w:b w:val="0"/>
                <w:color w:val="111827"/>
                <w:sz w:val="15"/>
              </w:rPr>
              <w:t>KvK 81921985</w:t>
            </w:r>
          </w:p>
        </w:tc>
        <w:tc>
          <w:tcPr>
            <w:tcW w:type="dxa" w:w="3661"/>
            <w:tcMar>
              <w:top w:w="90" w:type="dxa"/>
              <w:start w:w="120" w:type="dxa"/>
              <w:bottom w:w="90" w:type="dxa"/>
              <w:end w:w="120" w:type="dxa"/>
            </w:tcMar>
            <w:vAlign w:val="center"/>
          </w:tcPr>
          <w:p>
            <w:pPr>
              <w:spacing w:after="0"/>
            </w:pPr>
            <w:r>
              <w:rPr>
                <w:rFonts w:ascii="Calibri" w:hAnsi="Calibri"/>
                <w:b w:val="0"/>
                <w:color w:val="111827"/>
                <w:sz w:val="15"/>
              </w:rPr>
              <w:t>SparkleCloud, sparklecloud.ai, SaaS, hosting, opslag, licenties, onderhoud, updates, support en SLA.</w:t>
            </w:r>
          </w:p>
        </w:tc>
      </w:tr>
      <w:tr>
        <w:trPr>
          <w:cantSplit/>
        </w:trPr>
        <w:tc>
          <w:tcPr>
            <w:tcW w:type="dxa" w:w="2050"/>
            <w:tcMar>
              <w:top w:w="90" w:type="dxa"/>
              <w:start w:w="120" w:type="dxa"/>
              <w:bottom w:w="90" w:type="dxa"/>
              <w:end w:w="120" w:type="dxa"/>
            </w:tcMar>
            <w:vAlign w:val="center"/>
          </w:tcPr>
          <w:p>
            <w:pPr>
              <w:spacing w:after="0"/>
            </w:pPr>
            <w:r>
              <w:rPr>
                <w:rFonts w:ascii="Calibri" w:hAnsi="Calibri"/>
                <w:b w:val="0"/>
                <w:color w:val="111827"/>
                <w:sz w:val="15"/>
              </w:rPr>
              <w:t>Brightness India B.V.</w:t>
            </w:r>
          </w:p>
        </w:tc>
        <w:tc>
          <w:tcPr>
            <w:tcW w:type="dxa" w:w="2450"/>
            <w:tcMar>
              <w:top w:w="90" w:type="dxa"/>
              <w:start w:w="120" w:type="dxa"/>
              <w:bottom w:w="90" w:type="dxa"/>
              <w:end w:w="120" w:type="dxa"/>
            </w:tcMar>
            <w:vAlign w:val="center"/>
          </w:tcPr>
          <w:p>
            <w:pPr>
              <w:spacing w:after="0"/>
            </w:pPr>
            <w:r>
              <w:rPr>
                <w:rFonts w:ascii="Calibri" w:hAnsi="Calibri"/>
                <w:b w:val="0"/>
                <w:color w:val="111827"/>
                <w:sz w:val="15"/>
              </w:rPr>
              <w:t>Graftermeerstraat 22c, 2131 AC Hoofddorp, Nederland</w:t>
            </w:r>
          </w:p>
        </w:tc>
        <w:tc>
          <w:tcPr>
            <w:tcW w:type="dxa" w:w="1250"/>
            <w:tcMar>
              <w:top w:w="90" w:type="dxa"/>
              <w:start w:w="120" w:type="dxa"/>
              <w:bottom w:w="90" w:type="dxa"/>
              <w:end w:w="120" w:type="dxa"/>
            </w:tcMar>
            <w:vAlign w:val="center"/>
          </w:tcPr>
          <w:p>
            <w:pPr>
              <w:spacing w:after="0"/>
            </w:pPr>
            <w:r>
              <w:rPr>
                <w:rFonts w:ascii="Calibri" w:hAnsi="Calibri"/>
                <w:b w:val="0"/>
                <w:color w:val="111827"/>
                <w:sz w:val="15"/>
              </w:rPr>
              <w:t>KvK 63516136</w:t>
            </w:r>
          </w:p>
        </w:tc>
        <w:tc>
          <w:tcPr>
            <w:tcW w:type="dxa" w:w="3661"/>
            <w:tcMar>
              <w:top w:w="90" w:type="dxa"/>
              <w:start w:w="120" w:type="dxa"/>
              <w:bottom w:w="90" w:type="dxa"/>
              <w:end w:w="120" w:type="dxa"/>
            </w:tcMar>
            <w:vAlign w:val="center"/>
          </w:tcPr>
          <w:p>
            <w:pPr>
              <w:spacing w:after="0"/>
            </w:pPr>
            <w:r>
              <w:rPr>
                <w:rFonts w:ascii="Calibri" w:hAnsi="Calibri"/>
                <w:b w:val="0"/>
                <w:color w:val="111827"/>
                <w:sz w:val="15"/>
              </w:rPr>
              <w:t>Zelfstandige softwareontwikkeling en uitvoering voor Brightness ICT B.V. wanneer uitdrukkelijk aangewezen.</w:t>
            </w:r>
          </w:p>
        </w:tc>
      </w:tr>
      <w:tr>
        <w:trPr>
          <w:cantSplit/>
        </w:trPr>
        <w:tc>
          <w:tcPr>
            <w:tcW w:type="dxa" w:w="2050"/>
            <w:tcMar>
              <w:top w:w="90" w:type="dxa"/>
              <w:start w:w="120" w:type="dxa"/>
              <w:bottom w:w="90" w:type="dxa"/>
              <w:end w:w="120" w:type="dxa"/>
            </w:tcMar>
            <w:vAlign w:val="center"/>
          </w:tcPr>
          <w:p>
            <w:pPr>
              <w:spacing w:after="0"/>
            </w:pPr>
            <w:r>
              <w:rPr>
                <w:rFonts w:ascii="Calibri" w:hAnsi="Calibri"/>
                <w:b w:val="0"/>
                <w:color w:val="111827"/>
                <w:sz w:val="15"/>
              </w:rPr>
              <w:t>Brightness Software Development (I) Private Limited</w:t>
            </w:r>
          </w:p>
        </w:tc>
        <w:tc>
          <w:tcPr>
            <w:tcW w:type="dxa" w:w="2450"/>
            <w:tcMar>
              <w:top w:w="90" w:type="dxa"/>
              <w:start w:w="120" w:type="dxa"/>
              <w:bottom w:w="90" w:type="dxa"/>
              <w:end w:w="120" w:type="dxa"/>
            </w:tcMar>
            <w:vAlign w:val="center"/>
          </w:tcPr>
          <w:p>
            <w:pPr>
              <w:spacing w:after="0"/>
            </w:pPr>
            <w:r>
              <w:rPr>
                <w:rFonts w:ascii="Calibri" w:hAnsi="Calibri"/>
                <w:b w:val="0"/>
                <w:color w:val="111827"/>
                <w:sz w:val="15"/>
              </w:rPr>
              <w:t>503, Satya One, Opp. R3 The Mall, Drive-in Road, Manav Mandir, Memnagar, Ahmedabad 380052, Gujarat, India</w:t>
            </w:r>
          </w:p>
        </w:tc>
        <w:tc>
          <w:tcPr>
            <w:tcW w:type="dxa" w:w="1250"/>
            <w:tcMar>
              <w:top w:w="90" w:type="dxa"/>
              <w:start w:w="120" w:type="dxa"/>
              <w:bottom w:w="90" w:type="dxa"/>
              <w:end w:w="120" w:type="dxa"/>
            </w:tcMar>
            <w:vAlign w:val="center"/>
          </w:tcPr>
          <w:p>
            <w:pPr>
              <w:spacing w:after="0"/>
            </w:pPr>
            <w:r>
              <w:rPr>
                <w:rFonts w:ascii="Calibri" w:hAnsi="Calibri"/>
                <w:b w:val="0"/>
                <w:color w:val="111827"/>
                <w:sz w:val="15"/>
              </w:rPr>
              <w:t>CIN U72300GJ2015PTC082977</w:t>
            </w:r>
          </w:p>
        </w:tc>
        <w:tc>
          <w:tcPr>
            <w:tcW w:type="dxa" w:w="3661"/>
            <w:tcMar>
              <w:top w:w="90" w:type="dxa"/>
              <w:start w:w="120" w:type="dxa"/>
              <w:bottom w:w="90" w:type="dxa"/>
              <w:end w:w="120" w:type="dxa"/>
            </w:tcMar>
            <w:vAlign w:val="center"/>
          </w:tcPr>
          <w:p>
            <w:pPr>
              <w:spacing w:after="0"/>
            </w:pPr>
            <w:r>
              <w:rPr>
                <w:rFonts w:ascii="Calibri" w:hAnsi="Calibri"/>
                <w:b w:val="0"/>
                <w:color w:val="111827"/>
                <w:sz w:val="15"/>
              </w:rPr>
              <w:t>Zelfstandige Indiase softwareontwikkeling en feitelijke uitvoering vanuit India wanneer uitdrukkelijk aangewezen.</w:t>
            </w:r>
          </w:p>
        </w:tc>
      </w:tr>
    </w:tbl>
    <w:p>
      <w:pPr>
        <w:spacing w:after="0"/>
      </w:pPr>
    </w:p>
    <w:p>
      <w:pPr>
        <w:pStyle w:val="Heading1"/>
        <w:keepNext/>
      </w:pPr>
      <w:r>
        <w:t>1. Definities</w:t>
      </w:r>
    </w:p>
    <w:p>
      <w:pPr>
        <w:spacing w:after="120" w:line="264" w:lineRule="auto"/>
      </w:pPr>
      <w:r>
        <w:rPr>
          <w:rFonts w:ascii="Calibri" w:hAnsi="Calibri"/>
          <w:b/>
          <w:color w:val="17324D"/>
        </w:rPr>
        <w:t xml:space="preserve">1.1  </w:t>
      </w:r>
      <w:r>
        <w:rPr>
          <w:rFonts w:ascii="Calibri" w:hAnsi="Calibri"/>
        </w:rPr>
        <w:t>Contracterende Entiteit betekent de Brightness-rechtspersoon die in de Offerte als leverancier voor een bepaalde Dienst is aangewezen.</w:t>
      </w:r>
    </w:p>
    <w:p>
      <w:pPr>
        <w:spacing w:after="120" w:line="264" w:lineRule="auto"/>
      </w:pPr>
      <w:r>
        <w:rPr>
          <w:rFonts w:ascii="Calibri" w:hAnsi="Calibri"/>
          <w:b/>
          <w:color w:val="17324D"/>
        </w:rPr>
        <w:t xml:space="preserve">1.2  </w:t>
      </w:r>
      <w:r>
        <w:rPr>
          <w:rFonts w:ascii="Calibri" w:hAnsi="Calibri"/>
        </w:rPr>
        <w:t>Klant betekent de rechtspersoon of natuurlijke persoon die handelt in beroep of bedrijf en de Offerte aanvaardt. De Diensten worden niet aan consumenten aangeboden.</w:t>
      </w:r>
    </w:p>
    <w:p>
      <w:pPr>
        <w:spacing w:after="120" w:line="264" w:lineRule="auto"/>
      </w:pPr>
      <w:r>
        <w:rPr>
          <w:rFonts w:ascii="Calibri" w:hAnsi="Calibri"/>
          <w:b/>
          <w:color w:val="17324D"/>
        </w:rPr>
        <w:t xml:space="preserve">1.3  </w:t>
      </w:r>
      <w:r>
        <w:rPr>
          <w:rFonts w:ascii="Calibri" w:hAnsi="Calibri"/>
        </w:rPr>
        <w:t>Dienst betekent SparkleCloud, SaaS, hosting, opslag, licenties, onderhoud, support, implementatie, ontwikkeling, testen, migratie, integratie, AI-functionaliteit of andere in de Offerte genoemde werkzaamheden.</w:t>
      </w:r>
    </w:p>
    <w:p>
      <w:pPr>
        <w:spacing w:after="120" w:line="264" w:lineRule="auto"/>
      </w:pPr>
      <w:r>
        <w:rPr>
          <w:rFonts w:ascii="Calibri" w:hAnsi="Calibri"/>
          <w:b/>
          <w:color w:val="17324D"/>
        </w:rPr>
        <w:t xml:space="preserve">1.4  </w:t>
      </w:r>
      <w:r>
        <w:rPr>
          <w:rFonts w:ascii="Calibri" w:hAnsi="Calibri"/>
        </w:rPr>
        <w:t>Offerte omvat een offerte, orderformulier, statement of work, opdrachtbevestiging of ander schriftelijk of elektronisch aanbod. Klantdata omvat alle gegevens, bestanden, documenten, inhoud en persoonsgegevens van of namens de Klant.</w:t>
      </w:r>
    </w:p>
    <w:p>
      <w:pPr>
        <w:spacing w:after="120" w:line="264" w:lineRule="auto"/>
      </w:pPr>
      <w:r>
        <w:rPr>
          <w:rFonts w:ascii="Calibri" w:hAnsi="Calibri"/>
          <w:b/>
          <w:color w:val="17324D"/>
        </w:rPr>
        <w:t xml:space="preserve">1.5  </w:t>
      </w:r>
      <w:r>
        <w:rPr>
          <w:rFonts w:ascii="Calibri" w:hAnsi="Calibri"/>
        </w:rPr>
        <w:t>SparkleCloud is het modulaire softwareplatform waarvan Brightness Subscriptions B.V. eigenaar is, tenzij uitdrukkelijk anders overeengekomen. SLA is een service level agreement die alleen geldt wanneer deze uitdrukkelijk is geselecteerd en ingevuld.</w:t>
      </w:r>
    </w:p>
    <w:p>
      <w:pPr>
        <w:pStyle w:val="Heading1"/>
        <w:keepNext/>
      </w:pPr>
      <w:r>
        <w:t>2. Toepasselijkheid en totstandkoming</w:t>
      </w:r>
    </w:p>
    <w:p>
      <w:pPr>
        <w:spacing w:after="120" w:line="264" w:lineRule="auto"/>
      </w:pPr>
      <w:r>
        <w:rPr>
          <w:rFonts w:ascii="Calibri" w:hAnsi="Calibri"/>
          <w:b/>
          <w:color w:val="17324D"/>
        </w:rPr>
        <w:t xml:space="preserve">2.1  </w:t>
      </w:r>
      <w:r>
        <w:rPr>
          <w:rFonts w:ascii="Calibri" w:hAnsi="Calibri"/>
        </w:rPr>
        <w:t>Deze voorwaarden gelden voor alle zakelijke aanbiedingen en overeenkomsten van een Contracterende Entiteit, ook wanneer Diensten via brightness-group.com, sparklecloud.ai of een andere Brightness-website worden aangeboden.</w:t>
      </w:r>
    </w:p>
    <w:p>
      <w:pPr>
        <w:spacing w:after="120" w:line="264" w:lineRule="auto"/>
      </w:pPr>
      <w:r>
        <w:rPr>
          <w:rFonts w:ascii="Calibri" w:hAnsi="Calibri"/>
          <w:b/>
          <w:color w:val="17324D"/>
        </w:rPr>
        <w:t xml:space="preserve">2.2  </w:t>
      </w:r>
      <w:r>
        <w:rPr>
          <w:rFonts w:ascii="Calibri" w:hAnsi="Calibri"/>
        </w:rPr>
        <w:t>Een overeenkomst ontstaat door ondertekening, elektronische aanvaarding, een zakelijke online bestelling of doordat de Contracterende Entiteit op verzoek met de uitvoering begint. Afwijkingen gelden alleen voor de overeenkomst waarin zij uitdrukkelijk zijn vastgelegd.</w:t>
      </w:r>
    </w:p>
    <w:p>
      <w:pPr>
        <w:spacing w:after="120" w:line="264" w:lineRule="auto"/>
      </w:pPr>
      <w:r>
        <w:rPr>
          <w:rFonts w:ascii="Calibri" w:hAnsi="Calibri"/>
          <w:b/>
          <w:color w:val="17324D"/>
        </w:rPr>
        <w:t xml:space="preserve">2.3  </w:t>
      </w:r>
      <w:r>
        <w:rPr>
          <w:rFonts w:ascii="Calibri" w:hAnsi="Calibri"/>
        </w:rPr>
        <w:t>Inkoop- of andere voorwaarden van de Klant worden afgewezen, tenzij een bevoegde vertegenwoordiger van de betreffende Contracterende Entiteit deze uitdrukkelijk schriftelijk aanvaardt.</w:t>
      </w:r>
    </w:p>
    <w:p>
      <w:pPr>
        <w:spacing w:after="120" w:line="264" w:lineRule="auto"/>
      </w:pPr>
      <w:r>
        <w:rPr>
          <w:rFonts w:ascii="Calibri" w:hAnsi="Calibri"/>
          <w:b/>
          <w:color w:val="17324D"/>
        </w:rPr>
        <w:t xml:space="preserve">2.4  </w:t>
      </w:r>
      <w:r>
        <w:rPr>
          <w:rFonts w:ascii="Calibri" w:hAnsi="Calibri"/>
        </w:rPr>
        <w:t>De Klant garandeert dat hij zakelijk of organisatorisch handelt en dat de persoon die aanvaardt bevoegd is hem te binden.</w:t>
      </w:r>
    </w:p>
    <w:p>
      <w:pPr>
        <w:pStyle w:val="Heading1"/>
        <w:keepNext/>
      </w:pPr>
      <w:r>
        <w:t>3. Zelfstandige rechtspersonen</w:t>
      </w:r>
    </w:p>
    <w:p>
      <w:pPr>
        <w:spacing w:after="120" w:line="264" w:lineRule="auto"/>
      </w:pPr>
      <w:r>
        <w:rPr>
          <w:rFonts w:ascii="Calibri" w:hAnsi="Calibri"/>
          <w:b/>
          <w:color w:val="17324D"/>
        </w:rPr>
        <w:t xml:space="preserve">3.1  </w:t>
      </w:r>
      <w:r>
        <w:rPr>
          <w:rFonts w:ascii="Calibri" w:hAnsi="Calibri"/>
        </w:rPr>
        <w:t>Brightness ICT B.V., Brightness Subscriptions B.V., Brightness India B.V., Brightness Software Development (I) Private Limited en Brightness Group B.V. zijn zelfstandige rechtspersonen. Een gemeenschappelijk merk, aandeelhouder, website, supportdesk, medewerker, adres of contactpunt wijzigt dat niet.</w:t>
      </w:r>
    </w:p>
    <w:p>
      <w:pPr>
        <w:spacing w:after="120" w:line="264" w:lineRule="auto"/>
      </w:pPr>
      <w:r>
        <w:rPr>
          <w:rFonts w:ascii="Calibri" w:hAnsi="Calibri"/>
          <w:b/>
          <w:color w:val="17324D"/>
        </w:rPr>
        <w:t xml:space="preserve">3.2  </w:t>
      </w:r>
      <w:r>
        <w:rPr>
          <w:rFonts w:ascii="Calibri" w:hAnsi="Calibri"/>
        </w:rPr>
        <w:t>Alleen de Contracterende Entiteit heeft rechten en verplichtingen voor haar toegewezen scope. Geen andere groepsmaatschappij is medecontractant, garant, borg, agent of hoofdelijk schuldenaar, tenzij zij de Offerte voor een bepaalde scope medeondertekent.</w:t>
      </w:r>
    </w:p>
    <w:p>
      <w:pPr>
        <w:spacing w:after="120" w:line="264" w:lineRule="auto"/>
      </w:pPr>
      <w:r>
        <w:rPr>
          <w:rFonts w:ascii="Calibri" w:hAnsi="Calibri"/>
          <w:b/>
          <w:color w:val="17324D"/>
        </w:rPr>
        <w:t xml:space="preserve">3.3  </w:t>
      </w:r>
      <w:r>
        <w:rPr>
          <w:rFonts w:ascii="Calibri" w:hAnsi="Calibri"/>
        </w:rPr>
        <w:t>Noemt een Offerte meerdere Contracterende Entiteiten, dan is iedere entiteit uitsluitend verantwoordelijk voor en factureert zij haar eigen toegewezen Diensten. Beëindiging of tekortkoming bij één entiteit raakt niet automatisch een overeenkomst met een andere entiteit.</w:t>
      </w:r>
    </w:p>
    <w:p>
      <w:pPr>
        <w:spacing w:after="120" w:line="264" w:lineRule="auto"/>
      </w:pPr>
      <w:r>
        <w:rPr>
          <w:rFonts w:ascii="Calibri" w:hAnsi="Calibri"/>
          <w:b/>
          <w:color w:val="17324D"/>
        </w:rPr>
        <w:t xml:space="preserve">3.4  </w:t>
      </w:r>
      <w:r>
        <w:rPr>
          <w:rFonts w:ascii="Calibri" w:hAnsi="Calibri"/>
        </w:rPr>
        <w:t>Brightness Group B.V. is uitsluitend de holding/overkoepelende naam. Zij beheert brightness-group.com niet, ontvangt geen centrale groepsaanvragen en levert de in deze voorwaarden beschreven Diensten niet.</w:t>
      </w:r>
    </w:p>
    <w:p>
      <w:pPr>
        <w:pStyle w:val="Heading1"/>
        <w:keepNext/>
      </w:pPr>
      <w:r>
        <w:t>4. Rollen van de entiteiten</w:t>
      </w:r>
    </w:p>
    <w:p>
      <w:pPr>
        <w:spacing w:after="120" w:line="264" w:lineRule="auto"/>
      </w:pPr>
      <w:r>
        <w:rPr>
          <w:rFonts w:ascii="Calibri" w:hAnsi="Calibri"/>
          <w:b/>
          <w:color w:val="17324D"/>
        </w:rPr>
        <w:t xml:space="preserve">4.1  </w:t>
      </w:r>
      <w:r>
        <w:rPr>
          <w:rFonts w:ascii="Calibri" w:hAnsi="Calibri"/>
        </w:rPr>
        <w:t>Brightness ICT B.V. beheert brightness-group.com, behandelt centrale groepsaanvragen en levert Nederlandse implementatie, configuratie en maatwerkontwikkeling wanneer zij is aangewezen.</w:t>
      </w:r>
    </w:p>
    <w:p>
      <w:pPr>
        <w:spacing w:after="120" w:line="264" w:lineRule="auto"/>
      </w:pPr>
      <w:r>
        <w:rPr>
          <w:rFonts w:ascii="Calibri" w:hAnsi="Calibri"/>
          <w:b/>
          <w:color w:val="17324D"/>
        </w:rPr>
        <w:t xml:space="preserve">4.2  </w:t>
      </w:r>
      <w:r>
        <w:rPr>
          <w:rFonts w:ascii="Calibri" w:hAnsi="Calibri"/>
        </w:rPr>
        <w:t>Brightness Subscriptions B.V. bezit en licentieert SparkleCloud en levert de geselecteerde SaaS, hosting, opslag, onderhoud, updates, support, licenties en SLA-diensten.</w:t>
      </w:r>
    </w:p>
    <w:p>
      <w:pPr>
        <w:spacing w:after="120" w:line="264" w:lineRule="auto"/>
      </w:pPr>
      <w:r>
        <w:rPr>
          <w:rFonts w:ascii="Calibri" w:hAnsi="Calibri"/>
          <w:b/>
          <w:color w:val="17324D"/>
        </w:rPr>
        <w:t xml:space="preserve">4.3  </w:t>
      </w:r>
      <w:r>
        <w:rPr>
          <w:rFonts w:ascii="Calibri" w:hAnsi="Calibri"/>
        </w:rPr>
        <w:t>Brightness India B.V. en Brightness Software Development (I) Private Limited leveren uitsluitend softwareontwikkeling wanneer zij rechtstreeks zijn aangewezen of rechtsgeldig als onderaannemer zijn ingeschakeld. Zij leveren of garanderen geen Diensten van Brightness Subscriptions B.V.</w:t>
      </w:r>
    </w:p>
    <w:p>
      <w:pPr>
        <w:spacing w:after="120" w:line="264" w:lineRule="auto"/>
      </w:pPr>
      <w:r>
        <w:rPr>
          <w:rFonts w:ascii="Calibri" w:hAnsi="Calibri"/>
          <w:b/>
          <w:color w:val="17324D"/>
        </w:rPr>
        <w:t xml:space="preserve">4.4  </w:t>
      </w:r>
      <w:r>
        <w:rPr>
          <w:rFonts w:ascii="Calibri" w:hAnsi="Calibri"/>
        </w:rPr>
        <w:t>De feitelijke entiteitstoedeling, prijs, scope, gegevenstoegang en eventuele toestemming voor onderaanneming staan in de Offerte en toepasselijke verwerkingsdocumenten.</w:t>
      </w:r>
    </w:p>
    <w:p>
      <w:pPr>
        <w:pStyle w:val="Heading1"/>
        <w:keepNext/>
      </w:pPr>
      <w:r>
        <w:t>5. Offertes, scope en rangorde</w:t>
      </w:r>
    </w:p>
    <w:p>
      <w:pPr>
        <w:spacing w:after="120" w:line="264" w:lineRule="auto"/>
      </w:pPr>
      <w:r>
        <w:rPr>
          <w:rFonts w:ascii="Calibri" w:hAnsi="Calibri"/>
          <w:b/>
          <w:color w:val="17324D"/>
        </w:rPr>
        <w:t xml:space="preserve">5.1  </w:t>
      </w:r>
      <w:r>
        <w:rPr>
          <w:rFonts w:ascii="Calibri" w:hAnsi="Calibri"/>
        </w:rPr>
        <w:t>Een Offerte kan worden aanvaard gedurende de daarin genoemde termijn. Prijzen zijn exclusief btw, GST, bronbelastingen en andere toepasselijke heffingen, tenzij uitdrukkelijk anders vermeld.</w:t>
      </w:r>
    </w:p>
    <w:p>
      <w:pPr>
        <w:spacing w:after="120" w:line="264" w:lineRule="auto"/>
      </w:pPr>
      <w:r>
        <w:rPr>
          <w:rFonts w:ascii="Calibri" w:hAnsi="Calibri"/>
          <w:b/>
          <w:color w:val="17324D"/>
        </w:rPr>
        <w:t xml:space="preserve">5.2  </w:t>
      </w:r>
      <w:r>
        <w:rPr>
          <w:rFonts w:ascii="Calibri" w:hAnsi="Calibri"/>
        </w:rPr>
        <w:t>Alleen uitdrukkelijk beschreven modules, resultaten, aantallen, omgevingen, locaties en serviceniveaus zijn inbegrepen. Demonstraties, roadmaps en publieke productinformatie zijn indicatief.</w:t>
      </w:r>
    </w:p>
    <w:p>
      <w:pPr>
        <w:spacing w:after="120" w:line="264" w:lineRule="auto"/>
      </w:pPr>
      <w:r>
        <w:rPr>
          <w:rFonts w:ascii="Calibri" w:hAnsi="Calibri"/>
          <w:b/>
          <w:color w:val="17324D"/>
        </w:rPr>
        <w:t xml:space="preserve">5.3  </w:t>
      </w:r>
      <w:r>
        <w:rPr>
          <w:rFonts w:ascii="Calibri" w:hAnsi="Calibri"/>
        </w:rPr>
        <w:t>Voor gegevensbescherming gaat een specifiek ingevulde Verwerkingsbijlage voor, gevolgd door de Verwerkersovereenkomst en een uitdrukkelijk overeengekomen hoger beveiligingsniveau. Voor overige onderwerpen gaat de Offerte voor, gevolgd door een toepasselijke SLA of opdrachtomschrijving, deze voorwaarden, het Beleid Aanvaardbaar Gebruik en overige standaardbijlagen.</w:t>
      </w:r>
    </w:p>
    <w:p>
      <w:pPr>
        <w:spacing w:after="120" w:line="264" w:lineRule="auto"/>
      </w:pPr>
      <w:r>
        <w:rPr>
          <w:rFonts w:ascii="Calibri" w:hAnsi="Calibri"/>
          <w:b/>
          <w:color w:val="17324D"/>
        </w:rPr>
        <w:t xml:space="preserve">5.4  </w:t>
      </w:r>
      <w:r>
        <w:rPr>
          <w:rFonts w:ascii="Calibri" w:hAnsi="Calibri"/>
        </w:rPr>
        <w:t>Een document gaat alleen voor voor het tegenstrijdige onderwerp. Dwingend recht gaat altijd voor. Een nieuwe online versie wijzigt een bestaande overeenkomst niet automatisch, tenzij de overeengekomen wijzigingsprocedure dat toestaat.</w:t>
      </w:r>
    </w:p>
    <w:p>
      <w:pPr>
        <w:pStyle w:val="Heading1"/>
        <w:keepNext/>
      </w:pPr>
      <w:r>
        <w:t>6. Wijzigingen en meerwerk</w:t>
      </w:r>
    </w:p>
    <w:p>
      <w:pPr>
        <w:spacing w:after="120" w:line="264" w:lineRule="auto"/>
      </w:pPr>
      <w:r>
        <w:rPr>
          <w:rFonts w:ascii="Calibri" w:hAnsi="Calibri"/>
          <w:b/>
          <w:color w:val="17324D"/>
        </w:rPr>
        <w:t xml:space="preserve">6.1  </w:t>
      </w:r>
      <w:r>
        <w:rPr>
          <w:rFonts w:ascii="Calibri" w:hAnsi="Calibri"/>
        </w:rPr>
        <w:t>Wijzigingen, extra wensen, onderzoek, overleg, projectmanagement, migratie, koppelingen, testen en werk door klant- of derde-afhankelijkheden zijn meerwerk, tenzij uitdrukkelijk inbegrepen.</w:t>
      </w:r>
    </w:p>
    <w:p>
      <w:pPr>
        <w:spacing w:after="120" w:line="264" w:lineRule="auto"/>
      </w:pPr>
      <w:r>
        <w:rPr>
          <w:rFonts w:ascii="Calibri" w:hAnsi="Calibri"/>
          <w:b/>
          <w:color w:val="17324D"/>
        </w:rPr>
        <w:t xml:space="preserve">6.2  </w:t>
      </w:r>
      <w:r>
        <w:rPr>
          <w:rFonts w:ascii="Calibri" w:hAnsi="Calibri"/>
        </w:rPr>
        <w:t>Meerwerk wordt vooraf geoffreerd wanneer dat redelijkerwijs mogelijk is. Een verzoek van een bevoegde klantcontactpersoon geldt als opdracht wanneer prijs of berekeningswijze voldoende duidelijk is.</w:t>
      </w:r>
    </w:p>
    <w:p>
      <w:pPr>
        <w:spacing w:after="120" w:line="264" w:lineRule="auto"/>
      </w:pPr>
      <w:r>
        <w:rPr>
          <w:rFonts w:ascii="Calibri" w:hAnsi="Calibri"/>
          <w:b/>
          <w:color w:val="17324D"/>
        </w:rPr>
        <w:t xml:space="preserve">6.3  </w:t>
      </w:r>
      <w:r>
        <w:rPr>
          <w:rFonts w:ascii="Calibri" w:hAnsi="Calibri"/>
        </w:rPr>
        <w:t>Een raming is geen vaste prijs of maximum. Wordt een wezenlijke overschrijding voorzienbaar, dan informeert de leverancier de Klant zodat scope kan worden aangepast, voortgezet of gestopt na betaling van uitgevoerd werk.</w:t>
      </w:r>
    </w:p>
    <w:p>
      <w:pPr>
        <w:pStyle w:val="Heading1"/>
        <w:keepNext/>
      </w:pPr>
      <w:r>
        <w:t>7. SaaS-licenties en gebruik</w:t>
      </w:r>
    </w:p>
    <w:p>
      <w:pPr>
        <w:spacing w:after="120" w:line="264" w:lineRule="auto"/>
      </w:pPr>
      <w:r>
        <w:rPr>
          <w:rFonts w:ascii="Calibri" w:hAnsi="Calibri"/>
          <w:b/>
          <w:color w:val="17324D"/>
        </w:rPr>
        <w:t xml:space="preserve">7.1  </w:t>
      </w:r>
      <w:r>
        <w:rPr>
          <w:rFonts w:ascii="Calibri" w:hAnsi="Calibri"/>
        </w:rPr>
        <w:t>Brightness Subscriptions B.V. verleent voor de overeengekomen duur een beperkt, niet-exclusief en niet-overdraagbaar recht om de geselecteerde SparkleCloud-modules voor interne zakelijke doelen te gebruiken.</w:t>
      </w:r>
    </w:p>
    <w:p>
      <w:pPr>
        <w:spacing w:after="120" w:line="264" w:lineRule="auto"/>
      </w:pPr>
      <w:r>
        <w:rPr>
          <w:rFonts w:ascii="Calibri" w:hAnsi="Calibri"/>
          <w:b/>
          <w:color w:val="17324D"/>
        </w:rPr>
        <w:t xml:space="preserve">7.2  </w:t>
      </w:r>
      <w:r>
        <w:rPr>
          <w:rFonts w:ascii="Calibri" w:hAnsi="Calibri"/>
        </w:rPr>
        <w:t>De Klant mag bevoegde medewerkers, opdrachtnemers, klanten of andere externe gebruikers toegang geven binnen de overeengekomen capaciteit en blijft verantwoordelijk voor hun handelen, rechten en naleving.</w:t>
      </w:r>
    </w:p>
    <w:p>
      <w:pPr>
        <w:spacing w:after="120" w:line="264" w:lineRule="auto"/>
      </w:pPr>
      <w:r>
        <w:rPr>
          <w:rFonts w:ascii="Calibri" w:hAnsi="Calibri"/>
          <w:b/>
          <w:color w:val="17324D"/>
        </w:rPr>
        <w:t xml:space="preserve">7.3  </w:t>
      </w:r>
      <w:r>
        <w:rPr>
          <w:rFonts w:ascii="Calibri" w:hAnsi="Calibri"/>
        </w:rPr>
        <w:t>SparkleCloud kan multi-tenant zijn of, als de Offerte dit vermeldt, dedicated worden geïnstalleerd. Een dedicated installatie geeft geen exclusiviteit of recht op broncode.</w:t>
      </w:r>
    </w:p>
    <w:p>
      <w:pPr>
        <w:spacing w:after="120" w:line="264" w:lineRule="auto"/>
      </w:pPr>
      <w:r>
        <w:rPr>
          <w:rFonts w:ascii="Calibri" w:hAnsi="Calibri"/>
          <w:b/>
          <w:color w:val="17324D"/>
        </w:rPr>
        <w:t xml:space="preserve">7.4  </w:t>
      </w:r>
      <w:r>
        <w:rPr>
          <w:rFonts w:ascii="Calibri" w:hAnsi="Calibri"/>
        </w:rPr>
        <w:t>Brightness Subscriptions B.V. mag het platform bijwerken en verbeteren. Bij een wezenlijke vermindering van overeengekomen kernfunctionaliteit biedt zij waar redelijk een alternatief, overgangstermijn of beëindigingsmogelijkheid voor het getroffen onderdeel.</w:t>
      </w:r>
    </w:p>
    <w:p>
      <w:pPr>
        <w:pStyle w:val="Heading1"/>
        <w:keepNext/>
      </w:pPr>
      <w:r>
        <w:t>8. Ontwikkeling, testen en acceptatie</w:t>
      </w:r>
    </w:p>
    <w:p>
      <w:pPr>
        <w:spacing w:after="120" w:line="264" w:lineRule="auto"/>
      </w:pPr>
      <w:r>
        <w:rPr>
          <w:rFonts w:ascii="Calibri" w:hAnsi="Calibri"/>
          <w:b/>
          <w:color w:val="17324D"/>
        </w:rPr>
        <w:t xml:space="preserve">8.1  </w:t>
      </w:r>
      <w:r>
        <w:rPr>
          <w:rFonts w:ascii="Calibri" w:hAnsi="Calibri"/>
        </w:rPr>
        <w:t>Ontwikkeling wordt gefactureerd tegen het uurtarief in de Offerte op basis van werkelijk bestede tijd, tenzij een resultaat uitdrukkelijk als vaste prijs is aangeduid.</w:t>
      </w:r>
    </w:p>
    <w:p>
      <w:pPr>
        <w:spacing w:after="120" w:line="264" w:lineRule="auto"/>
      </w:pPr>
      <w:r>
        <w:rPr>
          <w:rFonts w:ascii="Calibri" w:hAnsi="Calibri"/>
          <w:b/>
          <w:color w:val="17324D"/>
        </w:rPr>
        <w:t xml:space="preserve">8.2  </w:t>
      </w:r>
      <w:r>
        <w:rPr>
          <w:rFonts w:ascii="Calibri" w:hAnsi="Calibri"/>
        </w:rPr>
        <w:t>Data zijn streefdata, tenzij uitdrukkelijk fataal genoemd. Vertraging door ontbrekende informatie, toegang, besluiten, testen, derden of wijzigingen verlengt de planning ten minste evenredig.</w:t>
      </w:r>
    </w:p>
    <w:p>
      <w:pPr>
        <w:spacing w:after="120" w:line="264" w:lineRule="auto"/>
      </w:pPr>
      <w:r>
        <w:rPr>
          <w:rFonts w:ascii="Calibri" w:hAnsi="Calibri"/>
          <w:b/>
          <w:color w:val="17324D"/>
        </w:rPr>
        <w:t xml:space="preserve">8.3  </w:t>
      </w:r>
      <w:r>
        <w:rPr>
          <w:rFonts w:ascii="Calibri" w:hAnsi="Calibri"/>
        </w:rPr>
        <w:t>De Klant test binnen de afgesproken testtermijn of, als die ontbreekt, tien werkdagen. Afwijzing noemt reproduceerbare wezenlijke afwijkingen van de overeengekomen specificatie.</w:t>
      </w:r>
    </w:p>
    <w:p>
      <w:pPr>
        <w:spacing w:after="120" w:line="264" w:lineRule="auto"/>
      </w:pPr>
      <w:r>
        <w:rPr>
          <w:rFonts w:ascii="Calibri" w:hAnsi="Calibri"/>
          <w:b/>
          <w:color w:val="17324D"/>
        </w:rPr>
        <w:t xml:space="preserve">8.4  </w:t>
      </w:r>
      <w:r>
        <w:rPr>
          <w:rFonts w:ascii="Calibri" w:hAnsi="Calibri"/>
        </w:rPr>
        <w:t>Een resultaat geldt als geaccepteerd bij schriftelijke goedkeuring, productiegebruik of het zonder voldoende specifieke afwijzing verlopen van de testtermijn. Kleine gebreken die later redelijk kunnen worden hersteld verhinderen acceptatie niet.</w:t>
      </w:r>
    </w:p>
    <w:p>
      <w:pPr>
        <w:spacing w:after="120" w:line="264" w:lineRule="auto"/>
      </w:pPr>
      <w:r>
        <w:rPr>
          <w:rFonts w:ascii="Calibri" w:hAnsi="Calibri"/>
          <w:b/>
          <w:color w:val="17324D"/>
        </w:rPr>
        <w:t xml:space="preserve">8.5  </w:t>
      </w:r>
      <w:r>
        <w:rPr>
          <w:rFonts w:ascii="Calibri" w:hAnsi="Calibri"/>
        </w:rPr>
        <w:t>Na acceptatie gelden doorlopend onderhoud, updates en support alleen onder een overeengekomen onderhouds- of SLA-regeling.</w:t>
      </w:r>
    </w:p>
    <w:p>
      <w:pPr>
        <w:pStyle w:val="Heading1"/>
        <w:keepNext/>
      </w:pPr>
      <w:r>
        <w:t>9. Verantwoordelijkheden van de Klant</w:t>
      </w:r>
    </w:p>
    <w:p>
      <w:pPr>
        <w:spacing w:after="120" w:line="264" w:lineRule="auto"/>
      </w:pPr>
      <w:r>
        <w:rPr>
          <w:rFonts w:ascii="Calibri" w:hAnsi="Calibri"/>
          <w:b/>
          <w:color w:val="17324D"/>
        </w:rPr>
        <w:t xml:space="preserve">9.1  </w:t>
      </w:r>
      <w:r>
        <w:rPr>
          <w:rFonts w:ascii="Calibri" w:hAnsi="Calibri"/>
        </w:rPr>
        <w:t>De Klant verstrekt tijdig juiste en volledige informatie, inhoud, toegang, besluiten, testcapaciteit en bevoegde contactpersonen en controleert of de Dienst geschikt is voor het beoogde gebruik.</w:t>
      </w:r>
    </w:p>
    <w:p>
      <w:pPr>
        <w:spacing w:after="120" w:line="264" w:lineRule="auto"/>
      </w:pPr>
      <w:r>
        <w:rPr>
          <w:rFonts w:ascii="Calibri" w:hAnsi="Calibri"/>
          <w:b/>
          <w:color w:val="17324D"/>
        </w:rPr>
        <w:t xml:space="preserve">9.2  </w:t>
      </w:r>
      <w:r>
        <w:rPr>
          <w:rFonts w:ascii="Calibri" w:hAnsi="Calibri"/>
        </w:rPr>
        <w:t>De Klant beheert gebruikers, rollen, rechten, externe gebruikers, wachtwoorden, MFA, apparaten, API-sleutels, koppelingen en eigen bewaarplichten en trekt onnodige toegang tijdig in.</w:t>
      </w:r>
    </w:p>
    <w:p>
      <w:pPr>
        <w:spacing w:after="120" w:line="264" w:lineRule="auto"/>
      </w:pPr>
      <w:r>
        <w:rPr>
          <w:rFonts w:ascii="Calibri" w:hAnsi="Calibri"/>
          <w:b/>
          <w:color w:val="17324D"/>
        </w:rPr>
        <w:t xml:space="preserve">9.3  </w:t>
      </w:r>
      <w:r>
        <w:rPr>
          <w:rFonts w:ascii="Calibri" w:hAnsi="Calibri"/>
        </w:rPr>
        <w:t>De Klant is verantwoordelijk voor rechtmatigheid, juistheid en rechten op Klantdata en voor vereiste informatie, grondslagen en toestemmingen.</w:t>
      </w:r>
    </w:p>
    <w:p>
      <w:pPr>
        <w:spacing w:after="120" w:line="264" w:lineRule="auto"/>
      </w:pPr>
      <w:r>
        <w:rPr>
          <w:rFonts w:ascii="Calibri" w:hAnsi="Calibri"/>
          <w:b/>
          <w:color w:val="17324D"/>
        </w:rPr>
        <w:t xml:space="preserve">9.4  </w:t>
      </w:r>
      <w:r>
        <w:rPr>
          <w:rFonts w:ascii="Calibri" w:hAnsi="Calibri"/>
        </w:rPr>
        <w:t>Bijzondere, strafrechtelijke, medische of andere hoog-risicogegevens worden alleen verwerkt na voorafgaande schriftelijke melding en afspraken over aanvullende maatregelen en kosten.</w:t>
      </w:r>
    </w:p>
    <w:p>
      <w:pPr>
        <w:pStyle w:val="Heading1"/>
        <w:keepNext/>
      </w:pPr>
      <w:r>
        <w:t>10. Klantdata en privacy</w:t>
      </w:r>
    </w:p>
    <w:p>
      <w:pPr>
        <w:spacing w:after="120" w:line="264" w:lineRule="auto"/>
      </w:pPr>
      <w:r>
        <w:rPr>
          <w:rFonts w:ascii="Calibri" w:hAnsi="Calibri"/>
          <w:b/>
          <w:color w:val="17324D"/>
        </w:rPr>
        <w:t xml:space="preserve">10.1  </w:t>
      </w:r>
      <w:r>
        <w:rPr>
          <w:rFonts w:ascii="Calibri" w:hAnsi="Calibri"/>
        </w:rPr>
        <w:t>Klantdata blijft eigendom van de Klant of diens licentiegevers. De Contracterende Entiteit krijgt alleen de rechten die nodig zijn om de Dienst uit te voeren, beveiligen, ondersteunen en herstellen.</w:t>
      </w:r>
    </w:p>
    <w:p>
      <w:pPr>
        <w:spacing w:after="120" w:line="264" w:lineRule="auto"/>
      </w:pPr>
      <w:r>
        <w:rPr>
          <w:rFonts w:ascii="Calibri" w:hAnsi="Calibri"/>
          <w:b/>
          <w:color w:val="17324D"/>
        </w:rPr>
        <w:t xml:space="preserve">10.2  </w:t>
      </w:r>
      <w:r>
        <w:rPr>
          <w:rFonts w:ascii="Calibri" w:hAnsi="Calibri"/>
        </w:rPr>
        <w:t>Wanneer een Contracterende Entiteit persoonsgegevens namens de Klant verwerkt, gelden de Brightness Verwerkersovereenkomst, Beveiligingsbijlage, het Subverwerkersregister en de ingevulde Verwerkingsbijlage.</w:t>
      </w:r>
    </w:p>
    <w:p>
      <w:pPr>
        <w:spacing w:after="120" w:line="264" w:lineRule="auto"/>
      </w:pPr>
      <w:r>
        <w:rPr>
          <w:rFonts w:ascii="Calibri" w:hAnsi="Calibri"/>
          <w:b/>
          <w:color w:val="17324D"/>
        </w:rPr>
        <w:t xml:space="preserve">10.3  </w:t>
      </w:r>
      <w:r>
        <w:rPr>
          <w:rFonts w:ascii="Calibri" w:hAnsi="Calibri"/>
        </w:rPr>
        <w:t>Iedere Brightness-entiteit is zelfstandig verwerkingsverantwoordelijke voor eigen aanvragen, contractadministratie, facturatie, wettelijke naleving en marketing met toestemming. Daarop geldt de Brightness Privacyverklaring.</w:t>
      </w:r>
    </w:p>
    <w:p>
      <w:pPr>
        <w:spacing w:after="120" w:line="264" w:lineRule="auto"/>
      </w:pPr>
      <w:r>
        <w:rPr>
          <w:rFonts w:ascii="Calibri" w:hAnsi="Calibri"/>
          <w:b/>
          <w:color w:val="17324D"/>
        </w:rPr>
        <w:t xml:space="preserve">10.4  </w:t>
      </w:r>
      <w:r>
        <w:rPr>
          <w:rFonts w:ascii="Calibri" w:hAnsi="Calibri"/>
        </w:rPr>
        <w:t>De Klant blijft verantwoordelijk voor zijn eigen privacyverklaringen en voor verzoeken van personen wier gegevens hij in de Dienst plaatst.</w:t>
      </w:r>
    </w:p>
    <w:p>
      <w:pPr>
        <w:pStyle w:val="Heading1"/>
        <w:keepNext/>
      </w:pPr>
      <w:r>
        <w:t>11. Externe diensten en AI</w:t>
      </w:r>
    </w:p>
    <w:p>
      <w:pPr>
        <w:spacing w:after="120" w:line="264" w:lineRule="auto"/>
      </w:pPr>
      <w:r>
        <w:rPr>
          <w:rFonts w:ascii="Calibri" w:hAnsi="Calibri"/>
          <w:b/>
          <w:color w:val="17324D"/>
        </w:rPr>
        <w:t xml:space="preserve">11.1  </w:t>
      </w:r>
      <w:r>
        <w:rPr>
          <w:rFonts w:ascii="Calibri" w:hAnsi="Calibri"/>
        </w:rPr>
        <w:t>De Klant kan koppelingen met externe diensten aanvragen. Beschikbaarheid, uitvoer, voorwaarden en zelfstandige verwerking daarvan vallen buiten de macht van de Contracterende Entiteit.</w:t>
      </w:r>
    </w:p>
    <w:p>
      <w:pPr>
        <w:spacing w:after="120" w:line="264" w:lineRule="auto"/>
      </w:pPr>
      <w:r>
        <w:rPr>
          <w:rFonts w:ascii="Calibri" w:hAnsi="Calibri"/>
          <w:b/>
          <w:color w:val="17324D"/>
        </w:rPr>
        <w:t xml:space="preserve">11.2  </w:t>
      </w:r>
      <w:r>
        <w:rPr>
          <w:rFonts w:ascii="Calibri" w:hAnsi="Calibri"/>
        </w:rPr>
        <w:t>Bij een eigen account, contract of API-sleutel van de Klant is de provider een door de Klant gekozen derde. De Klant bepaalt wat wordt verzonden en is verantwoordelijk voor provider, regio, instellingen, grondslag en gebruik van uitvoer. De Contracterende Entiteit blijft verantwoordelijk voor veilige en correcte werking van haar eigen koppeling.</w:t>
      </w:r>
    </w:p>
    <w:p>
      <w:pPr>
        <w:spacing w:after="120" w:line="264" w:lineRule="auto"/>
      </w:pPr>
      <w:r>
        <w:rPr>
          <w:rFonts w:ascii="Calibri" w:hAnsi="Calibri"/>
          <w:b/>
          <w:color w:val="17324D"/>
        </w:rPr>
        <w:t xml:space="preserve">11.3  </w:t>
      </w:r>
      <w:r>
        <w:rPr>
          <w:rFonts w:ascii="Calibri" w:hAnsi="Calibri"/>
        </w:rPr>
        <w:t>Wordt via een Brightness-account, -contract of -API-sleutel een derde gebruikt om persoonsgegevens voor de Klant te verwerken, dan geldt deze als Subverwerker en blijft de Verwerkersovereenkomst volledig van toepassing.</w:t>
      </w:r>
    </w:p>
    <w:p>
      <w:pPr>
        <w:spacing w:after="120" w:line="264" w:lineRule="auto"/>
      </w:pPr>
      <w:r>
        <w:rPr>
          <w:rFonts w:ascii="Calibri" w:hAnsi="Calibri"/>
          <w:b/>
          <w:color w:val="17324D"/>
        </w:rPr>
        <w:t xml:space="preserve">11.4  </w:t>
      </w:r>
      <w:r>
        <w:rPr>
          <w:rFonts w:ascii="Calibri" w:hAnsi="Calibri"/>
        </w:rPr>
        <w:t>AI-uitvoer kan onjuist, onvolledig, bevooroordeeld of ongeschikt zijn. De Klant past passende menselijke controle toe en gebruikt uitvoer niet als enige grondslag voor beslissingen met rechtsgevolgen of vergelijkbare wezenlijke gevolgen, tenzij rechtmatig voor dat doel ingericht en overeengekomen.</w:t>
      </w:r>
    </w:p>
    <w:p>
      <w:pPr>
        <w:spacing w:after="120" w:line="264" w:lineRule="auto"/>
      </w:pPr>
      <w:r>
        <w:rPr>
          <w:rFonts w:ascii="Calibri" w:hAnsi="Calibri"/>
          <w:b/>
          <w:color w:val="17324D"/>
        </w:rPr>
        <w:t xml:space="preserve">11.5  </w:t>
      </w:r>
      <w:r>
        <w:rPr>
          <w:rFonts w:ascii="Calibri" w:hAnsi="Calibri"/>
        </w:rPr>
        <w:t>De Klant is verantwoordelijk voor transparantie, labeling en andere verplichtingen die volgens toepasselijke AI-wetgeving op hem als gebruiker/exploitant rusten. Brightness blijft verantwoordelijk voor verplichtingen die op haar eigen rol van toepassing zijn.</w:t>
      </w:r>
    </w:p>
    <w:p>
      <w:pPr>
        <w:pStyle w:val="Heading1"/>
        <w:keepNext/>
      </w:pPr>
      <w:r>
        <w:t>12. Intellectuele eigendom</w:t>
      </w:r>
    </w:p>
    <w:p>
      <w:pPr>
        <w:spacing w:after="120" w:line="264" w:lineRule="auto"/>
      </w:pPr>
      <w:r>
        <w:rPr>
          <w:rFonts w:ascii="Calibri" w:hAnsi="Calibri"/>
          <w:b/>
          <w:color w:val="17324D"/>
        </w:rPr>
        <w:t xml:space="preserve">12.1  </w:t>
      </w:r>
      <w:r>
        <w:rPr>
          <w:rFonts w:ascii="Calibri" w:hAnsi="Calibri"/>
        </w:rPr>
        <w:t>Alle rechten op SparkleCloud, standaardsoftware, documentatie, methoden, generieke verbeteringen, herbruikbare componenten, ontwerpen en toekomstige functionaliteit blijven bij Brightness Subscriptions B.V., de ontwikkelende Contracterende Entiteit of hun licentiegevers.</w:t>
      </w:r>
    </w:p>
    <w:p>
      <w:pPr>
        <w:spacing w:after="120" w:line="264" w:lineRule="auto"/>
      </w:pPr>
      <w:r>
        <w:rPr>
          <w:rFonts w:ascii="Calibri" w:hAnsi="Calibri"/>
          <w:b/>
          <w:color w:val="17324D"/>
        </w:rPr>
        <w:t xml:space="preserve">12.2  </w:t>
      </w:r>
      <w:r>
        <w:rPr>
          <w:rFonts w:ascii="Calibri" w:hAnsi="Calibri"/>
        </w:rPr>
        <w:t>Maatwerkontwikkeling draagt geen intellectuele eigendom over, tenzij de Offerte de overgedragen rechten en prijs uitdrukkelijk noemt. Na volledige betaling krijgt de Klant het overeengekomen gebruiksrecht.</w:t>
      </w:r>
    </w:p>
    <w:p>
      <w:pPr>
        <w:spacing w:after="120" w:line="264" w:lineRule="auto"/>
      </w:pPr>
      <w:r>
        <w:rPr>
          <w:rFonts w:ascii="Calibri" w:hAnsi="Calibri"/>
          <w:b/>
          <w:color w:val="17324D"/>
        </w:rPr>
        <w:t xml:space="preserve">12.3  </w:t>
      </w:r>
      <w:r>
        <w:rPr>
          <w:rFonts w:ascii="Calibri" w:hAnsi="Calibri"/>
        </w:rPr>
        <w:t>De Klant garandeert dat zijn materialen en instructies geen rechten van derden schenden en vrijwaart de Contracterende Entiteit tegen toerekenbare aanspraken van derden.</w:t>
      </w:r>
    </w:p>
    <w:p>
      <w:pPr>
        <w:spacing w:after="120" w:line="264" w:lineRule="auto"/>
      </w:pPr>
      <w:r>
        <w:rPr>
          <w:rFonts w:ascii="Calibri" w:hAnsi="Calibri"/>
          <w:b/>
          <w:color w:val="17324D"/>
        </w:rPr>
        <w:t xml:space="preserve">12.4  </w:t>
      </w:r>
      <w:r>
        <w:rPr>
          <w:rFonts w:ascii="Calibri" w:hAnsi="Calibri"/>
        </w:rPr>
        <w:t>Feedback mag zonder identificatie van de Klant worden gebruikt. Vertrouwelijke klantinformatie en persoonsgegevens worden daardoor niet openbaar gemaakt.</w:t>
      </w:r>
    </w:p>
    <w:p>
      <w:pPr>
        <w:pStyle w:val="Heading1"/>
        <w:keepNext/>
      </w:pPr>
      <w:r>
        <w:t>13. Onderhoud, support en SLA</w:t>
      </w:r>
    </w:p>
    <w:p>
      <w:pPr>
        <w:spacing w:after="120" w:line="264" w:lineRule="auto"/>
      </w:pPr>
      <w:r>
        <w:rPr>
          <w:rFonts w:ascii="Calibri" w:hAnsi="Calibri"/>
          <w:b/>
          <w:color w:val="17324D"/>
        </w:rPr>
        <w:t xml:space="preserve">13.1  </w:t>
      </w:r>
      <w:r>
        <w:rPr>
          <w:rFonts w:ascii="Calibri" w:hAnsi="Calibri"/>
        </w:rPr>
        <w:t>Support, beschikbaarheid, reactie, herstel, RPO, RTO, back-upretentie en servicecredits gelden uitsluitend op het niveau dat in Offerte of SLA is overeengekomen.</w:t>
      </w:r>
    </w:p>
    <w:p>
      <w:pPr>
        <w:spacing w:after="120" w:line="264" w:lineRule="auto"/>
      </w:pPr>
      <w:r>
        <w:rPr>
          <w:rFonts w:ascii="Calibri" w:hAnsi="Calibri"/>
          <w:b/>
          <w:color w:val="17324D"/>
        </w:rPr>
        <w:t xml:space="preserve">13.2  </w:t>
      </w:r>
      <w:r>
        <w:rPr>
          <w:rFonts w:ascii="Calibri" w:hAnsi="Calibri"/>
        </w:rPr>
        <w:t>Zonder specifieke SLA werkt de Contracterende Entiteit met redelijke vakbekwaamheid en zorg, maar garandeert zij geen ononderbroken, foutloze of volledig veilige werking.</w:t>
      </w:r>
    </w:p>
    <w:p>
      <w:pPr>
        <w:spacing w:after="120" w:line="264" w:lineRule="auto"/>
      </w:pPr>
      <w:r>
        <w:rPr>
          <w:rFonts w:ascii="Calibri" w:hAnsi="Calibri"/>
          <w:b/>
          <w:color w:val="17324D"/>
        </w:rPr>
        <w:t xml:space="preserve">13.3  </w:t>
      </w:r>
      <w:r>
        <w:rPr>
          <w:rFonts w:ascii="Calibri" w:hAnsi="Calibri"/>
        </w:rPr>
        <w:t>Een supportverzoek is een gedocumenteerde instructie om toegang te nemen tot gegevens die redelijkerwijs nodig zijn. Support is bereikbaar via support@brightness-group.com en +31 23 557 4211 binnen het overeengekomen servicevenster.</w:t>
      </w:r>
    </w:p>
    <w:p>
      <w:pPr>
        <w:spacing w:after="120" w:line="264" w:lineRule="auto"/>
      </w:pPr>
      <w:r>
        <w:rPr>
          <w:rFonts w:ascii="Calibri" w:hAnsi="Calibri"/>
          <w:b/>
          <w:color w:val="17324D"/>
        </w:rPr>
        <w:t xml:space="preserve">13.4  </w:t>
      </w:r>
      <w:r>
        <w:rPr>
          <w:rFonts w:ascii="Calibri" w:hAnsi="Calibri"/>
        </w:rPr>
        <w:t>Servicecredits gelden alleen als uitdrukkelijk overeengekomen en zijn dan het exclusieve financiële rechtsmiddel voor de specifieke SLA-overschrijding, behoudens dwingend recht en onderstaande aansprakelijkheidsuitzonderingen.</w:t>
      </w:r>
    </w:p>
    <w:p>
      <w:pPr>
        <w:pStyle w:val="Heading1"/>
        <w:keepNext/>
      </w:pPr>
      <w:r>
        <w:t>14. Beveiliging, back-ups en continuïteit</w:t>
      </w:r>
    </w:p>
    <w:p>
      <w:pPr>
        <w:spacing w:after="120" w:line="264" w:lineRule="auto"/>
      </w:pPr>
      <w:r>
        <w:rPr>
          <w:rFonts w:ascii="Calibri" w:hAnsi="Calibri"/>
          <w:b/>
          <w:color w:val="17324D"/>
        </w:rPr>
        <w:t xml:space="preserve">14.1  </w:t>
      </w:r>
      <w:r>
        <w:rPr>
          <w:rFonts w:ascii="Calibri" w:hAnsi="Calibri"/>
        </w:rPr>
        <w:t>De Contracterende Entiteit treft maatregelen die passen bij haar Dienst en de door de Klant verstrekte risico-informatie. De toepasselijke basis staat in de Beveiligingsbijlage.</w:t>
      </w:r>
    </w:p>
    <w:p>
      <w:pPr>
        <w:spacing w:after="120" w:line="264" w:lineRule="auto"/>
      </w:pPr>
      <w:r>
        <w:rPr>
          <w:rFonts w:ascii="Calibri" w:hAnsi="Calibri"/>
          <w:b/>
          <w:color w:val="17324D"/>
        </w:rPr>
        <w:t xml:space="preserve">14.2  </w:t>
      </w:r>
      <w:r>
        <w:rPr>
          <w:rFonts w:ascii="Calibri" w:hAnsi="Calibri"/>
        </w:rPr>
        <w:t>Back-ups zijn een herstelvoorziening en geen wettelijk archief. De Klant blijft verantwoordelijk voor vereiste bewaring en aanvullende exports. Herstel is afhankelijk van de laatste bruikbare back-up en kan latere wijzigingen verliezen.</w:t>
      </w:r>
    </w:p>
    <w:p>
      <w:pPr>
        <w:spacing w:after="120" w:line="264" w:lineRule="auto"/>
      </w:pPr>
      <w:r>
        <w:rPr>
          <w:rFonts w:ascii="Calibri" w:hAnsi="Calibri"/>
          <w:b/>
          <w:color w:val="17324D"/>
        </w:rPr>
        <w:t xml:space="preserve">14.3  </w:t>
      </w:r>
      <w:r>
        <w:rPr>
          <w:rFonts w:ascii="Calibri" w:hAnsi="Calibri"/>
        </w:rPr>
        <w:t>De Contracterende Entiteit mag onmiddellijk evenredige maatregelen treffen bij acuut beveiligingsrisico, misbruik of dreiging, waaronder isoleren van een omgeving of uitschakelen van toegang of koppeling.</w:t>
      </w:r>
    </w:p>
    <w:p>
      <w:pPr>
        <w:pStyle w:val="Heading1"/>
        <w:keepNext/>
      </w:pPr>
      <w:r>
        <w:t>15. Geheimhouding</w:t>
      </w:r>
    </w:p>
    <w:p>
      <w:pPr>
        <w:spacing w:after="120" w:line="264" w:lineRule="auto"/>
      </w:pPr>
      <w:r>
        <w:rPr>
          <w:rFonts w:ascii="Calibri" w:hAnsi="Calibri"/>
          <w:b/>
          <w:color w:val="17324D"/>
        </w:rPr>
        <w:t xml:space="preserve">15.1  </w:t>
      </w:r>
      <w:r>
        <w:rPr>
          <w:rFonts w:ascii="Calibri" w:hAnsi="Calibri"/>
        </w:rPr>
        <w:t>Iedere partij houdt vertrouwelijke informatie van de ander geheim, gebruikt deze alleen voor de overeenkomst en verstrekt haar uitsluitend aan personen die haar nodig hebben en aan geheimhouding zijn gebonden.</w:t>
      </w:r>
    </w:p>
    <w:p>
      <w:pPr>
        <w:spacing w:after="120" w:line="264" w:lineRule="auto"/>
      </w:pPr>
      <w:r>
        <w:rPr>
          <w:rFonts w:ascii="Calibri" w:hAnsi="Calibri"/>
          <w:b/>
          <w:color w:val="17324D"/>
        </w:rPr>
        <w:t xml:space="preserve">15.2  </w:t>
      </w:r>
      <w:r>
        <w:rPr>
          <w:rFonts w:ascii="Calibri" w:hAnsi="Calibri"/>
        </w:rPr>
        <w:t>De plicht geldt niet voor aantoonbaar openbare, rechtmatig bekende, zelfstandig ontwikkelde of wettelijk of bij bindend bevel te verstrekken informatie. Voorafgaande melding vindt plaats waar wettelijk toegestaan.</w:t>
      </w:r>
    </w:p>
    <w:p>
      <w:pPr>
        <w:pStyle w:val="Heading1"/>
        <w:keepNext/>
      </w:pPr>
      <w:r>
        <w:t>16. Vergoedingen, facturatie en indexatie</w:t>
      </w:r>
    </w:p>
    <w:p>
      <w:pPr>
        <w:spacing w:after="120" w:line="264" w:lineRule="auto"/>
      </w:pPr>
      <w:r>
        <w:rPr>
          <w:rFonts w:ascii="Calibri" w:hAnsi="Calibri"/>
          <w:b/>
          <w:color w:val="17324D"/>
        </w:rPr>
        <w:t xml:space="preserve">16.1  </w:t>
      </w:r>
      <w:r>
        <w:rPr>
          <w:rFonts w:ascii="Calibri" w:hAnsi="Calibri"/>
        </w:rPr>
        <w:t>Iedere Contracterende Entiteit factureert haar eigen Diensten. Betaling vindt plaats binnen de Offerte-termijn of, als die ontbreekt, veertien dagen na factuurdatum.</w:t>
      </w:r>
    </w:p>
    <w:p>
      <w:pPr>
        <w:spacing w:after="120" w:line="264" w:lineRule="auto"/>
      </w:pPr>
      <w:r>
        <w:rPr>
          <w:rFonts w:ascii="Calibri" w:hAnsi="Calibri"/>
          <w:b/>
          <w:color w:val="17324D"/>
        </w:rPr>
        <w:t xml:space="preserve">16.2  </w:t>
      </w:r>
      <w:r>
        <w:rPr>
          <w:rFonts w:ascii="Calibri" w:hAnsi="Calibri"/>
        </w:rPr>
        <w:t>Na verzuim zijn wettelijke handelsrente en redelijke incassokosten verschuldigd. Na een redelijke hersteltermijn mag de Contracterende Entiteit haar eigen getroffen Diensten opschorten.</w:t>
      </w:r>
    </w:p>
    <w:p>
      <w:pPr>
        <w:spacing w:after="120" w:line="264" w:lineRule="auto"/>
      </w:pPr>
      <w:r>
        <w:rPr>
          <w:rFonts w:ascii="Calibri" w:hAnsi="Calibri"/>
          <w:b/>
          <w:color w:val="17324D"/>
        </w:rPr>
        <w:t xml:space="preserve">16.3  </w:t>
      </w:r>
      <w:r>
        <w:rPr>
          <w:rFonts w:ascii="Calibri" w:hAnsi="Calibri"/>
        </w:rPr>
        <w:t>Terugkerende Nederlandse tarieven mogen jaarlijks worden geïndexeerd met de CBS CPI-reeks alle huishoudens. Bij verval geldt een opvolgende index; een negatieve index verlaagt tarieven niet automatisch.</w:t>
      </w:r>
    </w:p>
    <w:p>
      <w:pPr>
        <w:spacing w:after="120" w:line="264" w:lineRule="auto"/>
      </w:pPr>
      <w:r>
        <w:rPr>
          <w:rFonts w:ascii="Calibri" w:hAnsi="Calibri"/>
          <w:b/>
          <w:color w:val="17324D"/>
        </w:rPr>
        <w:t xml:space="preserve">16.4  </w:t>
      </w:r>
      <w:r>
        <w:rPr>
          <w:rFonts w:ascii="Calibri" w:hAnsi="Calibri"/>
        </w:rPr>
        <w:t>Aantoonbare prijsstijgingen van noodzakelijke externe hosting, licenties of diensten mogen aanvullend worden doorberekend waar de Offerte dit toestaat en de Klant vooraf redelijk wordt geïnformeerd.</w:t>
      </w:r>
    </w:p>
    <w:p>
      <w:pPr>
        <w:pStyle w:val="Heading1"/>
        <w:keepNext/>
      </w:pPr>
      <w:r>
        <w:t>17. Aansprakelijkheid</w:t>
      </w:r>
    </w:p>
    <w:p>
      <w:pPr>
        <w:spacing w:after="120" w:line="264" w:lineRule="auto"/>
      </w:pPr>
      <w:r>
        <w:rPr>
          <w:rFonts w:ascii="Calibri" w:hAnsi="Calibri"/>
          <w:b/>
          <w:color w:val="17324D"/>
        </w:rPr>
        <w:t xml:space="preserve">17.1  </w:t>
      </w:r>
      <w:r>
        <w:rPr>
          <w:rFonts w:ascii="Calibri" w:hAnsi="Calibri"/>
        </w:rPr>
        <w:t>Een Contracterende Entiteit is alleen aansprakelijk voor aantoonbare directe schade als rechtstreeks en voorzienbaar gevolg van een toerekenbare tekortkoming in haar eigen Dienst na een redelijke herstelmogelijkheid, tenzij herstel blijvend onmogelijk is.</w:t>
      </w:r>
    </w:p>
    <w:p>
      <w:pPr>
        <w:spacing w:after="120" w:line="264" w:lineRule="auto"/>
      </w:pPr>
      <w:r>
        <w:rPr>
          <w:rFonts w:ascii="Calibri" w:hAnsi="Calibri"/>
          <w:b/>
          <w:color w:val="17324D"/>
        </w:rPr>
        <w:t xml:space="preserve">17.2  </w:t>
      </w:r>
      <w:r>
        <w:rPr>
          <w:rFonts w:ascii="Calibri" w:hAnsi="Calibri"/>
        </w:rPr>
        <w:t>Haar totale gezamenlijke aansprakelijkheid per contractjaar is beperkt tot de vergoedingen exclusief belasting die in de twaalf maanden voorafgaand aan de gebeurtenis aan die entiteit zijn betaald of verschuldigd. Bij een kortere of afzonderlijke ontwikkelopdracht is de limiet niet hoger dan het bedrag voor de eerste twaalf maanden of de waarde van die opdracht.</w:t>
      </w:r>
    </w:p>
    <w:p>
      <w:pPr>
        <w:spacing w:after="120" w:line="264" w:lineRule="auto"/>
      </w:pPr>
      <w:r>
        <w:rPr>
          <w:rFonts w:ascii="Calibri" w:hAnsi="Calibri"/>
          <w:b/>
          <w:color w:val="17324D"/>
        </w:rPr>
        <w:t xml:space="preserve">17.3  </w:t>
      </w:r>
      <w:r>
        <w:rPr>
          <w:rFonts w:ascii="Calibri" w:hAnsi="Calibri"/>
        </w:rPr>
        <w:t>Indirecte schade, gevolgschade, gederfde winst, gemiste besparingen, reputatieschade, bedrijfsstagnatie, goodwillverlies en verlies of verminking van gegevens zijn uitgesloten. Voor gegevensverlies is aansprakelijkheid beperkt tot redelijke herstelkosten vanaf de laatste bruikbare back-up binnen de limiet.</w:t>
      </w:r>
    </w:p>
    <w:p>
      <w:pPr>
        <w:spacing w:after="120" w:line="264" w:lineRule="auto"/>
      </w:pPr>
      <w:r>
        <w:rPr>
          <w:rFonts w:ascii="Calibri" w:hAnsi="Calibri"/>
          <w:b/>
          <w:color w:val="17324D"/>
        </w:rPr>
        <w:t xml:space="preserve">17.4  </w:t>
      </w:r>
      <w:r>
        <w:rPr>
          <w:rFonts w:ascii="Calibri" w:hAnsi="Calibri"/>
        </w:rPr>
        <w:t>De uitsluitingen gelden niet bij opzet of bewuste roekeloosheid van de leiding van de verantwoordelijke entiteit of waar beperking dwingendrechtelijk verboden is. Niets schept aansprakelijkheid voor prestaties van een andere groepsmaatschappij.</w:t>
      </w:r>
    </w:p>
    <w:p>
      <w:pPr>
        <w:pStyle w:val="Heading1"/>
        <w:keepNext/>
      </w:pPr>
      <w:r>
        <w:t>18. Overmacht</w:t>
      </w:r>
    </w:p>
    <w:p>
      <w:pPr>
        <w:spacing w:after="120" w:line="264" w:lineRule="auto"/>
      </w:pPr>
      <w:r>
        <w:rPr>
          <w:rFonts w:ascii="Calibri" w:hAnsi="Calibri"/>
          <w:b/>
          <w:color w:val="17324D"/>
        </w:rPr>
        <w:t xml:space="preserve">18.1  </w:t>
      </w:r>
      <w:r>
        <w:rPr>
          <w:rFonts w:ascii="Calibri" w:hAnsi="Calibri"/>
        </w:rPr>
        <w:t>Een partij is niet aansprakelijk zolang een tekortkoming voortvloeit uit omstandigheden buiten redelijke macht, waaronder infrastructuur- of leveranciersuitval, cyberaanval, oorlog, epidemie, overheidsmaatregel, staking, stroom- of internetstoring of natuurramp.</w:t>
      </w:r>
    </w:p>
    <w:p>
      <w:pPr>
        <w:spacing w:after="120" w:line="264" w:lineRule="auto"/>
      </w:pPr>
      <w:r>
        <w:rPr>
          <w:rFonts w:ascii="Calibri" w:hAnsi="Calibri"/>
          <w:b/>
          <w:color w:val="17324D"/>
        </w:rPr>
        <w:t xml:space="preserve">18.2  </w:t>
      </w:r>
      <w:r>
        <w:rPr>
          <w:rFonts w:ascii="Calibri" w:hAnsi="Calibri"/>
        </w:rPr>
        <w:t>De getroffen partij beperkt redelijkerwijs en informeert de ander. Duurt overmacht langer dan zestig dagen, dan mag ieder het getroffen deel zonder schadevergoeding beëindigen; uitgevoerde Diensten blijven verschuldigd.</w:t>
      </w:r>
    </w:p>
    <w:p>
      <w:pPr>
        <w:pStyle w:val="Heading1"/>
        <w:keepNext/>
      </w:pPr>
      <w:r>
        <w:t>19. Duur, opschorting en beëindiging</w:t>
      </w:r>
    </w:p>
    <w:p>
      <w:pPr>
        <w:spacing w:after="120" w:line="264" w:lineRule="auto"/>
      </w:pPr>
      <w:r>
        <w:rPr>
          <w:rFonts w:ascii="Calibri" w:hAnsi="Calibri"/>
          <w:b/>
          <w:color w:val="17324D"/>
        </w:rPr>
        <w:t xml:space="preserve">19.1  </w:t>
      </w:r>
      <w:r>
        <w:rPr>
          <w:rFonts w:ascii="Calibri" w:hAnsi="Calibri"/>
        </w:rPr>
        <w:t>Een terugkerende overeenkomst heeft de initiële duur en verlenging uit de Offerte. Ontbreekt die, dan geldt twaalf maanden, verlenging met twaalf maanden en opzegging drie maanden voor einde van de lopende termijn.</w:t>
      </w:r>
    </w:p>
    <w:p>
      <w:pPr>
        <w:spacing w:after="120" w:line="264" w:lineRule="auto"/>
      </w:pPr>
      <w:r>
        <w:rPr>
          <w:rFonts w:ascii="Calibri" w:hAnsi="Calibri"/>
          <w:b/>
          <w:color w:val="17324D"/>
        </w:rPr>
        <w:t xml:space="preserve">19.2  </w:t>
      </w:r>
      <w:r>
        <w:rPr>
          <w:rFonts w:ascii="Calibri" w:hAnsi="Calibri"/>
        </w:rPr>
        <w:t>De Contracterende Entiteit mag opschorten of beëindigen bij een wezenlijke tekortkoming die niet binnen een redelijke schriftelijke termijn wordt hersteld. Onmiddellijke evenredige actie mag bij acuut beveiligingsrisico, onrechtmatig gebruik, niet-betaling na kennisgeving of dreigende schade.</w:t>
      </w:r>
    </w:p>
    <w:p>
      <w:pPr>
        <w:spacing w:after="120" w:line="264" w:lineRule="auto"/>
      </w:pPr>
      <w:r>
        <w:rPr>
          <w:rFonts w:ascii="Calibri" w:hAnsi="Calibri"/>
          <w:b/>
          <w:color w:val="17324D"/>
        </w:rPr>
        <w:t xml:space="preserve">19.3  </w:t>
      </w:r>
      <w:r>
        <w:rPr>
          <w:rFonts w:ascii="Calibri" w:hAnsi="Calibri"/>
        </w:rPr>
        <w:t>Iedere partij mag beëindigen wanneer de ander insolvent wordt, de onderneming staakt of noodzakelijke bevoegdheid verliest, voor zover wettelijk toegestaan.</w:t>
      </w:r>
    </w:p>
    <w:p>
      <w:pPr>
        <w:pStyle w:val="Heading1"/>
        <w:keepNext/>
      </w:pPr>
      <w:r>
        <w:t>20. Exit, switching en verwijdering</w:t>
      </w:r>
    </w:p>
    <w:p>
      <w:pPr>
        <w:spacing w:after="120" w:line="264" w:lineRule="auto"/>
      </w:pPr>
      <w:r>
        <w:rPr>
          <w:rFonts w:ascii="Calibri" w:hAnsi="Calibri"/>
          <w:b/>
          <w:color w:val="17324D"/>
        </w:rPr>
        <w:t xml:space="preserve">20.1  </w:t>
      </w:r>
      <w:r>
        <w:rPr>
          <w:rFonts w:ascii="Calibri" w:hAnsi="Calibri"/>
        </w:rPr>
        <w:t>De Klant kan tijdens de looptijd beschikbare exportfuncties gebruiken. Na beëindiging van SaaS blijven een standaard database-export en beschikbare bestanden minimaal dertig kalenderdagen beschikbaar, onder autorisatie- en betalingsvoorwaarden.</w:t>
      </w:r>
    </w:p>
    <w:p>
      <w:pPr>
        <w:spacing w:after="120" w:line="264" w:lineRule="auto"/>
      </w:pPr>
      <w:r>
        <w:rPr>
          <w:rFonts w:ascii="Calibri" w:hAnsi="Calibri"/>
          <w:b/>
          <w:color w:val="17324D"/>
        </w:rPr>
        <w:t xml:space="preserve">20.2  </w:t>
      </w:r>
      <w:r>
        <w:rPr>
          <w:rFonts w:ascii="Calibri" w:hAnsi="Calibri"/>
        </w:rPr>
        <w:t>Actieve Klantdata wordt uiterlijk zestig dagen na beëindiging of eerdere bevestiging verwijderd, behoudens wettelijke bewaring, geschilbewaring en noodzakelijke beveiligingslogs. Back-ups verlopen volgens de overeengekomen cyclus.</w:t>
      </w:r>
    </w:p>
    <w:p>
      <w:pPr>
        <w:spacing w:after="120" w:line="264" w:lineRule="auto"/>
      </w:pPr>
      <w:r>
        <w:rPr>
          <w:rFonts w:ascii="Calibri" w:hAnsi="Calibri"/>
          <w:b/>
          <w:color w:val="17324D"/>
        </w:rPr>
        <w:t xml:space="preserve">20.3  </w:t>
      </w:r>
      <w:r>
        <w:rPr>
          <w:rFonts w:ascii="Calibri" w:hAnsi="Calibri"/>
        </w:rPr>
        <w:t>Aanvullende conversie, mapping en migratieondersteuning is betaald, tenzij dwingend recht anders bepaalt. Waar de EU Data Act geldt, gelden wettelijke switchingtermijnen, machineleesbare exporteisen en kostenbeperkingen. Vanaf 12 januari 2027 worden geen switchingkosten gerekend voor het wettelijk omschreven switchingproces.</w:t>
      </w:r>
    </w:p>
    <w:p>
      <w:pPr>
        <w:spacing w:after="120" w:line="264" w:lineRule="auto"/>
      </w:pPr>
      <w:r>
        <w:rPr>
          <w:rFonts w:ascii="Calibri" w:hAnsi="Calibri"/>
          <w:b/>
          <w:color w:val="17324D"/>
        </w:rPr>
        <w:t xml:space="preserve">20.4  </w:t>
      </w:r>
      <w:r>
        <w:rPr>
          <w:rFonts w:ascii="Calibri" w:hAnsi="Calibri"/>
        </w:rPr>
        <w:t>Exports bevatten geen software, algoritmen, interne configuraties, bedrijfsgeheimen, beveiligingsgevoelige informatie of gegevens van andere klanten.</w:t>
      </w:r>
    </w:p>
    <w:p>
      <w:pPr>
        <w:pStyle w:val="Heading1"/>
        <w:keepNext/>
      </w:pPr>
      <w:r>
        <w:t>21. Wijzigingen en overdracht</w:t>
      </w:r>
    </w:p>
    <w:p>
      <w:pPr>
        <w:spacing w:after="120" w:line="264" w:lineRule="auto"/>
      </w:pPr>
      <w:r>
        <w:rPr>
          <w:rFonts w:ascii="Calibri" w:hAnsi="Calibri"/>
          <w:b/>
          <w:color w:val="17324D"/>
        </w:rPr>
        <w:t xml:space="preserve">21.1  </w:t>
      </w:r>
      <w:r>
        <w:rPr>
          <w:rFonts w:ascii="Calibri" w:hAnsi="Calibri"/>
        </w:rPr>
        <w:t>De Contracterende Entiteit mag standaardvoorwaarden wijzigen wegens wetgeving, beveiliging, techniek of bedrijfsvoering en kondigt materiële wijzigingen minimaal dertig dagen vooraf aan. Bij een wezenlijk nadelige wijziging mag de Klant het getroffen terugkerende onderdeel vóór ingang beëindigen, tenzij wet of acuut risico de wijziging vereist.</w:t>
      </w:r>
    </w:p>
    <w:p>
      <w:pPr>
        <w:spacing w:after="120" w:line="264" w:lineRule="auto"/>
      </w:pPr>
      <w:r>
        <w:rPr>
          <w:rFonts w:ascii="Calibri" w:hAnsi="Calibri"/>
          <w:b/>
          <w:color w:val="17324D"/>
        </w:rPr>
        <w:t xml:space="preserve">21.2  </w:t>
      </w:r>
      <w:r>
        <w:rPr>
          <w:rFonts w:ascii="Calibri" w:hAnsi="Calibri"/>
        </w:rPr>
        <w:t>De Klant mag niet overdragen zonder schriftelijke toestemming. De Contracterende Entiteit mag overdragen aan een groepsmaatschappij of rechtsopvolger wanneer continuïteit en gegevensbescherming niet wezenlijk verminderen.</w:t>
      </w:r>
    </w:p>
    <w:p>
      <w:pPr>
        <w:pStyle w:val="Heading1"/>
        <w:keepNext/>
      </w:pPr>
      <w:r>
        <w:t>22. Slotbepalingen</w:t>
      </w:r>
    </w:p>
    <w:p>
      <w:pPr>
        <w:spacing w:after="120" w:line="264" w:lineRule="auto"/>
      </w:pPr>
      <w:r>
        <w:rPr>
          <w:rFonts w:ascii="Calibri" w:hAnsi="Calibri"/>
          <w:b/>
          <w:color w:val="17324D"/>
        </w:rPr>
        <w:t xml:space="preserve">22.1  </w:t>
      </w:r>
      <w:r>
        <w:rPr>
          <w:rFonts w:ascii="Calibri" w:hAnsi="Calibri"/>
        </w:rPr>
        <w:t>Ongeldigheid van een bepaling tast de rest niet aan. Zij wordt vervangen door een geldige bepaling die het doel zo dicht mogelijk benadert.</w:t>
      </w:r>
    </w:p>
    <w:p>
      <w:pPr>
        <w:spacing w:after="120" w:line="264" w:lineRule="auto"/>
      </w:pPr>
      <w:r>
        <w:rPr>
          <w:rFonts w:ascii="Calibri" w:hAnsi="Calibri"/>
          <w:b/>
          <w:color w:val="17324D"/>
        </w:rPr>
        <w:t xml:space="preserve">22.2  </w:t>
      </w:r>
      <w:r>
        <w:rPr>
          <w:rFonts w:ascii="Calibri" w:hAnsi="Calibri"/>
        </w:rPr>
        <w:t>Elektronische communicatie, ondertekening en aanvaarding zijn toegestaan. Formele kennisgevingen gaan naar de Offerte-contacten; algemene juridische en privacyberichten mogen naar support@brightness-group.com.</w:t>
      </w:r>
    </w:p>
    <w:p>
      <w:pPr>
        <w:spacing w:after="120" w:line="264" w:lineRule="auto"/>
      </w:pPr>
      <w:r>
        <w:rPr>
          <w:rFonts w:ascii="Calibri" w:hAnsi="Calibri"/>
          <w:b/>
          <w:color w:val="17324D"/>
        </w:rPr>
        <w:t xml:space="preserve">22.3  </w:t>
      </w:r>
      <w:r>
        <w:rPr>
          <w:rFonts w:ascii="Calibri" w:hAnsi="Calibri"/>
        </w:rPr>
        <w:t>Op Nederlandse Contracterende Entiteiten zijn Nederlands recht en de bevoegde gerechten van de rechtbank Noord-Holland van toepassing, tenzij dwingend recht of de Offerte anders bepaalt.</w:t>
      </w:r>
    </w:p>
    <w:p>
      <w:pPr>
        <w:spacing w:after="120" w:line="264" w:lineRule="auto"/>
      </w:pPr>
      <w:r>
        <w:rPr>
          <w:rFonts w:ascii="Calibri" w:hAnsi="Calibri"/>
          <w:b/>
          <w:color w:val="17324D"/>
        </w:rPr>
        <w:t xml:space="preserve">22.4  </w:t>
      </w:r>
      <w:r>
        <w:rPr>
          <w:rFonts w:ascii="Calibri" w:hAnsi="Calibri"/>
        </w:rPr>
        <w:t>Een rechtstreekse overeenkomst met Brightness Software Development (I) Private Limited valt onder Indiaas recht en de bevoegde gerechten te Ahmedabad, Gujarat, tenzij haar Offerte uitdrukkelijk anders bepaalt. Nederlandse groepsmaatschappijen zijn geen partij of garant.</w:t>
      </w:r>
    </w:p>
    <w:p>
      <w:pPr>
        <w:spacing w:after="120" w:line="264" w:lineRule="auto"/>
      </w:pPr>
      <w:r>
        <w:rPr>
          <w:rFonts w:ascii="Calibri" w:hAnsi="Calibri"/>
          <w:b/>
          <w:color w:val="17324D"/>
        </w:rPr>
        <w:t xml:space="preserve">22.5  </w:t>
      </w:r>
      <w:r>
        <w:rPr>
          <w:rFonts w:ascii="Calibri" w:hAnsi="Calibri"/>
        </w:rPr>
        <w:t>Bij verschil tussen de Nederlandse en Engelse versie gaat de in de Offerte aangewezen taal voor. Zonder aanwijzing gaat bij een Nederlandse Contracterende Entiteit de Nederlandse versie voor en bij een rechtstreekse Indiase overeenkomst de Engelse versie.</w:t>
      </w:r>
    </w:p>
    <w:sectPr w:rsidR="00FC693F" w:rsidRPr="0006063C" w:rsidSect="00034616">
      <w:headerReference w:type="default" r:id="rId9"/>
      <w:footerReference w:type="default" r:id="rId10"/>
      <w:headerReference w:type="even" r:id="rId11"/>
      <w:footerReference w:type="even" r:id="rId12"/>
      <w:pgSz w:w="11906" w:h="16838"/>
      <w:pgMar w:top="1247" w:right="1247" w:bottom="1247" w:left="124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4B5563"/>
        <w:sz w:val="17"/>
      </w:rPr>
      <w:t xml:space="preserve">Algemene B2B-voorwaarden Brightness  |  v3.0  |  pagina </w:t>
    </w:r>
    <w:r>
      <w:rPr>
        <w:rFonts w:ascii="Calibri" w:hAnsi="Calibri"/>
        <w:color w:val="4B5563"/>
        <w:sz w:val="17"/>
      </w:rPr>
      <w:fldChar w:fldCharType="begin"/>
      <w:instrText xml:space="preserve">PAGE</w:instrText>
      <w:fldChar w:fldCharType="end"/>
    </w:r>
    <w:r>
      <w:rPr>
        <w:rFonts w:ascii="Calibri" w:hAnsi="Calibri"/>
        <w:color w:val="4B5563"/>
        <w:sz w:val="17"/>
      </w:rPr>
      <w:t xml:space="preserve"> van </w:t>
    </w:r>
    <w:r>
      <w:rPr>
        <w:rFonts w:ascii="Calibri" w:hAnsi="Calibri"/>
        <w:color w:val="4B5563"/>
        <w:sz w:val="17"/>
      </w:rPr>
      <w:fldChar w:fldCharType="begin"/>
      <w:instrText xml:space="preserve">NUMPAGES</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4B5563"/>
        <w:sz w:val="17"/>
      </w:rPr>
      <w:t xml:space="preserve">Algemene B2B-voorwaarden Brightness  |  v3.0  |  pagina </w:t>
    </w:r>
    <w:r>
      <w:rPr>
        <w:rFonts w:ascii="Calibri" w:hAnsi="Calibri"/>
        <w:color w:val="4B5563"/>
        <w:sz w:val="17"/>
      </w:rPr>
      <w:fldChar w:fldCharType="begin"/>
      <w:instrText xml:space="preserve">PAGE</w:instrText>
      <w:fldChar w:fldCharType="end"/>
    </w:r>
    <w:r>
      <w:rPr>
        <w:rFonts w:ascii="Calibri" w:hAnsi="Calibri"/>
        <w:color w:val="4B5563"/>
        <w:sz w:val="17"/>
      </w:rPr>
      <w:t xml:space="preserve"> van </w:t>
    </w:r>
    <w:r>
      <w:rPr>
        <w:rFonts w:ascii="Calibri" w:hAnsi="Calibri"/>
        <w:color w:val="4B5563"/>
        <w:sz w:val="17"/>
      </w:rP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4" w:color="D9E1E7"/>
      </w:pBdr>
    </w:pPr>
    <w:r>
      <w:rPr>
        <w:rFonts w:ascii="Calibri" w:hAnsi="Calibri"/>
        <w:b/>
        <w:color w:val="176B87"/>
        <w:sz w:val="17"/>
      </w:rPr>
      <w:t>BRIGHTNESS  |  JURIDISCH</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4" w:color="D9E1E7"/>
      </w:pBdr>
    </w:pPr>
    <w:r>
      <w:rPr>
        <w:rFonts w:ascii="Calibri" w:hAnsi="Calibri"/>
        <w:b/>
        <w:color w:val="176B87"/>
        <w:sz w:val="17"/>
      </w:rPr>
      <w:t>BRIGHTNESS  |  JURIDISCH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1182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7324D"/>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176B87"/>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732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64" w:lineRule="auto"/>
      <w:ind w:left="720" w:hanging="360"/>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64" w:lineRule="auto"/>
      <w:ind w:left="720" w:hanging="360"/>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Algemene B2B-voorwaarden Brightness</dc:title>
  <dc:subject>Brightness legal and privacy documentation</dc:subject>
  <dc:creator>Brightness</dc:creator>
  <cp:keywords>Brightness, legal, privacy, GDPR, SaaS, software</cp:keywords>
  <dc:description>Controlled model v3.0</dc:description>
  <cp:lastModifiedBy>Brightness</cp:lastModifiedBy>
  <cp:revision>1</cp:revision>
  <dcterms:created xsi:type="dcterms:W3CDTF">2013-12-23T23:15:00Z</dcterms:created>
  <dcterms:modified xsi:type="dcterms:W3CDTF">2013-12-23T23:15:00Z</dcterms:modified>
  <cp:category/>
</cp:coreProperties>
</file>