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00A6C8"/>
          <w:sz w:val="18"/>
        </w:rPr>
        <w:t>WEBSITETRANSPARANTIE</w:t>
      </w:r>
    </w:p>
    <w:p>
      <w:pPr>
        <w:spacing w:after="100"/>
      </w:pPr>
      <w:r>
        <w:rPr>
          <w:rFonts w:ascii="Calibri" w:hAnsi="Calibri"/>
          <w:b/>
          <w:color w:val="17324D"/>
          <w:sz w:val="50"/>
        </w:rPr>
        <w:t>Cookieverklaring Brightness</w:t>
      </w:r>
    </w:p>
    <w:p>
      <w:pPr>
        <w:spacing w:after="320"/>
      </w:pPr>
      <w:r>
        <w:rPr>
          <w:rFonts w:ascii="Calibri" w:hAnsi="Calibri"/>
          <w:color w:val="4B5563"/>
          <w:sz w:val="25"/>
        </w:rPr>
        <w:t>Cookies, pixels, lokale opslag, server-side gebeurtenissen en ingebedde diensten van derden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311"/>
      </w:tblGrid>
      <w:tr>
        <w:trPr>
          <w:cantSplit/>
        </w:trP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8"/>
              </w:rPr>
              <w:t>Versie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8"/>
              </w:rPr>
              <w:t>3.0</w:t>
            </w:r>
          </w:p>
        </w:tc>
      </w:tr>
      <w:tr>
        <w:trPr>
          <w:cantSplit/>
        </w:trP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8"/>
              </w:rPr>
              <w:t>Datum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8"/>
              </w:rPr>
              <w:t>27 augustus 2026</w:t>
            </w:r>
          </w:p>
        </w:tc>
      </w:tr>
      <w:tr>
        <w:trPr>
          <w:cantSplit/>
        </w:trP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8"/>
              </w:rPr>
              <w:t>Contact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8"/>
              </w:rPr>
              <w:t>support@brightness-group.com | +31 23 557 4211</w:t>
            </w:r>
          </w:p>
        </w:tc>
      </w:tr>
      <w:tr>
        <w:trPr>
          <w:cantSplit/>
        </w:trPr>
        <w:tc>
          <w:tcPr>
            <w:tcW w:type="dxa" w:w="2100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8"/>
              </w:rPr>
              <w:t>Status</w:t>
            </w:r>
          </w:p>
        </w:tc>
        <w:tc>
          <w:tcPr>
            <w:tcW w:type="dxa" w:w="7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8"/>
              </w:rPr>
              <w:t>Voor brightness-group.com en sparklecloud.ai</w:t>
            </w:r>
          </w:p>
        </w:tc>
      </w:tr>
    </w:tbl>
    <w:p>
      <w:pPr>
        <w:spacing w:after="0"/>
      </w:pP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411"/>
      </w:tblGrid>
      <w:tr>
        <w:trPr>
          <w:cantSplit/>
        </w:trPr>
        <w:tc>
          <w:tcPr>
            <w:tcW w:type="dxa" w:w="9411"/>
            <w:shd w:fill="EAF4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7324D"/>
                <w:sz w:val="19"/>
              </w:rPr>
              <w:t xml:space="preserve">Toestemmingsregel: </w:t>
            </w:r>
            <w:r>
              <w:rPr>
                <w:rFonts w:ascii="Calibri" w:hAnsi="Calibri"/>
                <w:sz w:val="19"/>
              </w:rPr>
              <w:t>Alleen strikt noodzakelijke technologie mag werken voordat een keuze is gemaakt. Analyse-, advertentie-, socialmedia- en andere niet-noodzakelijke technologie vereist waar wettelijk nodig voorafgaande toestemming. Doorgaan met browsen is geen toestemming en weigeren moet even eenvoudig zijn als accepteren.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Websitebeheerders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000"/>
        <w:gridCol w:w="4211"/>
      </w:tblGrid>
      <w:tr>
        <w:trPr>
          <w:tblHeader w:val="true"/>
          <w:cantSplit/>
        </w:trPr>
        <w:tc>
          <w:tcPr>
            <w:tcW w:type="dxa" w:w="22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Domein</w:t>
            </w:r>
          </w:p>
        </w:tc>
        <w:tc>
          <w:tcPr>
            <w:tcW w:type="dxa" w:w="30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Beheerder/verantwoordelijke</w:t>
            </w:r>
          </w:p>
        </w:tc>
        <w:tc>
          <w:tcPr>
            <w:tcW w:type="dxa" w:w="42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Contact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brightness-group.com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Brightness ICT B.V.</w:t>
            </w:r>
          </w:p>
        </w:tc>
        <w:tc>
          <w:tcPr>
            <w:tcW w:type="dxa" w:w="42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support@brightness-group.com | +31 23 557 4211</w:t>
            </w:r>
          </w:p>
        </w:tc>
      </w:tr>
      <w:tr>
        <w:trPr>
          <w:cantSplit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sparklecloud.ai</w:t>
            </w:r>
          </w:p>
        </w:tc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Brightness Subscriptions B.V.</w:t>
            </w:r>
          </w:p>
        </w:tc>
        <w:tc>
          <w:tcPr>
            <w:tcW w:type="dxa" w:w="42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7"/>
              </w:rPr>
              <w:t>support@brightness-group.com | +31 23 557 4211</w:t>
            </w:r>
          </w:p>
        </w:tc>
      </w:tr>
    </w:tbl>
    <w:p>
      <w:pPr>
        <w:spacing w:after="0"/>
      </w:pPr>
    </w:p>
    <w:p>
      <w:pPr>
        <w:keepLines w:val="0"/>
        <w:spacing w:after="120"/>
      </w:pPr>
      <w:r>
        <w:rPr>
          <w:rFonts w:ascii="Calibri" w:hAnsi="Calibri"/>
          <w:i w:val="0"/>
        </w:rPr>
        <w:t>Brightness Group B.V. is uitsluitend de holding/overkoepelende naam en is niet de verwerkingsverantwoordelijke voor deze websites.</w:t>
      </w:r>
    </w:p>
    <w:p>
      <w:pPr>
        <w:pStyle w:val="Heading1"/>
        <w:keepNext/>
      </w:pPr>
      <w:r>
        <w:t>2. Wat deze technologieën zijn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Cookies zijn kleine bestanden op een apparaat. Vergelijkbare technologie omvat pixels, SDK's, browseropslag, apparaat-ID's, URL-parameters en server-side conversiegebeurtenissen. Zij kunnen instellingen onthouden, sessies beschermen, gebruik meten of een campagne toeschrijven.</w:t>
      </w:r>
    </w:p>
    <w:p>
      <w:pPr>
        <w:pStyle w:val="Heading1"/>
        <w:keepNext/>
      </w:pPr>
      <w:r>
        <w:t>3. Categorieën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300"/>
        <w:gridCol w:w="2700"/>
        <w:gridCol w:w="1711"/>
      </w:tblGrid>
      <w:tr>
        <w:trPr>
          <w:tblHeader w:val="true"/>
          <w:cantSplit/>
        </w:trPr>
        <w:tc>
          <w:tcPr>
            <w:tcW w:type="dxa" w:w="17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Categorie</w:t>
            </w:r>
          </w:p>
        </w:tc>
        <w:tc>
          <w:tcPr>
            <w:tcW w:type="dxa" w:w="33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Doel</w:t>
            </w:r>
          </w:p>
        </w:tc>
        <w:tc>
          <w:tcPr>
            <w:tcW w:type="dxa" w:w="27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Basis</w:t>
            </w:r>
          </w:p>
        </w:tc>
        <w:tc>
          <w:tcPr>
            <w:tcW w:type="dxa" w:w="171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Standaard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Strikt noodzakelijk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Beveiliging, sessie, load balancing, formulierbescherming, taal en opslag van uw toestemmingskeuze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Noodzakelijke werking en beveiliging; geen toestemming waar wettelijk uitgezonderd</w:t>
            </w:r>
          </w:p>
        </w:tc>
        <w:tc>
          <w:tcPr>
            <w:tcW w:type="dxa" w:w="1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Altijd actief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Voorkeuren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Niet-noodzakelijke weergave-, taal- of functiekeuzes onthouden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Toestemming tenzij strikt nodig voor gevraagde functie</w:t>
            </w:r>
          </w:p>
        </w:tc>
        <w:tc>
          <w:tcPr>
            <w:tcW w:type="dxa" w:w="1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Standaard uit waar toestemming vereist is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Analyse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Bezoeken, pagina's, prestaties, fouten en geaggregeerd gebruik meten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Toestemming bij identifiers of niet-uitgezonderde analyse</w:t>
            </w:r>
          </w:p>
        </w:tc>
        <w:tc>
          <w:tcPr>
            <w:tcW w:type="dxa" w:w="1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Uit tot toestemming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Campagnetoeschrijving, doelgroepen, frequentie en conversiemeting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Toestemming</w:t>
            </w:r>
          </w:p>
        </w:tc>
        <w:tc>
          <w:tcPr>
            <w:tcW w:type="dxa" w:w="1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Uit tot toestemming</w:t>
            </w:r>
          </w:p>
        </w:tc>
      </w:tr>
      <w:tr>
        <w:trPr>
          <w:cantSplit/>
        </w:trPr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Externe media en sociale tools</w:t>
            </w:r>
          </w:p>
        </w:tc>
        <w:tc>
          <w:tcPr>
            <w:tcW w:type="dxa" w:w="3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Video, kaarten, reviews, chat, sociale widgets of boekingstools van derden laden</w:t>
            </w:r>
          </w:p>
        </w:tc>
        <w:tc>
          <w:tcPr>
            <w:tcW w:type="dxa" w:w="2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Toestemming tenzij gebruiker direct laden uitdrukkelijk vraagt</w:t>
            </w:r>
          </w:p>
        </w:tc>
        <w:tc>
          <w:tcPr>
            <w:tcW w:type="dxa" w:w="17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Uit tot toestemming of gebruikersactie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4. Tools die geactiveerd kunnen worden</w:t>
      </w:r>
    </w:p>
    <w:tbl>
      <w:tblPr>
        <w:tblStyle w:val="TableGrid"/>
        <w:tblW w:type="dxa" w:w="941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850"/>
        <w:gridCol w:w="2300"/>
        <w:gridCol w:w="2261"/>
      </w:tblGrid>
      <w:tr>
        <w:trPr>
          <w:tblHeader w:val="true"/>
          <w:cantSplit/>
        </w:trPr>
        <w:tc>
          <w:tcPr>
            <w:tcW w:type="dxa" w:w="20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Technologie</w:t>
            </w:r>
          </w:p>
        </w:tc>
        <w:tc>
          <w:tcPr>
            <w:tcW w:type="dxa" w:w="285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Doel</w:t>
            </w:r>
          </w:p>
        </w:tc>
        <w:tc>
          <w:tcPr>
            <w:tcW w:type="dxa" w:w="2300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Toestemmingsklasse</w:t>
            </w:r>
          </w:p>
        </w:tc>
        <w:tc>
          <w:tcPr>
            <w:tcW w:type="dxa" w:w="2261"/>
            <w:shd w:fill="17324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5"/>
              </w:rPr>
              <w:t>Activering/regio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Eigen Brightness-technologie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Sessie, beveiliging, formulieren, taal en toestemmingskeuze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Noodzakelijk of voorkeur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Nederland/EER waar door Brightness gehost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Google Tag Manager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Beheert toegestane tags; configuratie bepaalt welke andere tools laden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Alleen noodzakelijke container als die zelf niet volgt; anders 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Providerinstellingen en doorgiftewaarborgen gelden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Google Analytics 4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Websitemeting, campagnerapportage en prestatieanalyse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Analysetoestemming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Alleen na toestemming; retentie in account ingesteld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Google Ads/DoubleClick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Advertentietoeschrijving, doelgroepen en conversiemeting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Alleen bij geactiveerde campagne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Meta Pixel/Conversions API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Campagnetoeschrijving en conversiemeting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Client- of server-side alleen na geldig toestemmingssignaal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Reddit Pixel/Conversions API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Campagnetoeschrijving en conversiemeting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Client- of server-side alleen na geldig toestemmingssignaal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LinkedIn Insight Tag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B2B-campagnetoeschrijving en doelgroepmeting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Advertentietoestemming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Alleen waar geactiveerd en toegestaan</w:t>
            </w:r>
          </w:p>
        </w:tc>
      </w:tr>
      <w:tr>
        <w:trPr>
          <w:cantSplit/>
        </w:trPr>
        <w:tc>
          <w:tcPr>
            <w:tcW w:type="dxa" w:w="20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Ingebedde/communicatiediensten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WhatsApp, video, kaarten, reviews, planning, chat of vergelijkbare gevraagde functies</w:t>
            </w:r>
          </w:p>
        </w:tc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Toestemming of expliciet gebruikersverzoek</w:t>
            </w:r>
          </w:p>
        </w:tc>
        <w:tc>
          <w:tcPr>
            <w:tcW w:type="dxa" w:w="226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111827"/>
                <w:sz w:val="15"/>
              </w:rPr>
              <w:t>Provider ontvangt gegevens bij activering</w:t>
            </w:r>
          </w:p>
        </w:tc>
      </w:tr>
    </w:tbl>
    <w:p>
      <w:pPr>
        <w:spacing w:after="0"/>
      </w:pPr>
    </w:p>
    <w:p>
      <w:pPr>
        <w:keepLines w:val="0"/>
        <w:spacing w:after="120"/>
      </w:pPr>
      <w:r>
        <w:rPr>
          <w:rFonts w:ascii="Calibri" w:hAnsi="Calibri"/>
          <w:i/>
        </w:rPr>
        <w:t>Deze tabel beschrijft de toegestane toolset en verklaart niet dat elk hulpmiddel op iedere pagina actief is. Het cookievoorkeurencentrum moet voor de exacte implementatie de actuele provider, cookie- of gebeurtenisnaam, het doel en de bewaartermijn tonen. Een tool mag niet worden geactiveerd enkel doordat zij in deze verklaring staat.</w:t>
      </w:r>
    </w:p>
    <w:p>
      <w:pPr>
        <w:pStyle w:val="Heading1"/>
        <w:keepNext/>
      </w:pPr>
      <w:r>
        <w:t>5. Server-side tracking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Een conversiegebeurtenis kan vanaf een Brightness-server worden verzonden in plaats van rechtstreeks vanuit de browser. Daardoor vervalt het toestemmingsvereiste niet. Advertentie- of niet-noodzakelijke analysegebeurtenissen mogen server-side alleen na een geldig toestemmingssignaal worden verzonden, met gegevensminimalisatie en juiste providerconfiguratie. Intrekking moet toekomstige gebeurtenissen stoppen.</w:t>
      </w:r>
    </w:p>
    <w:p>
      <w:pPr>
        <w:pStyle w:val="Heading1"/>
        <w:keepNext/>
      </w:pPr>
      <w:r>
        <w:t>6. Uw keuze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De eerste laag biedt even zichtbare opties Accepteren en Weigeren en toegang tot gedetailleerde instellingen.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Niet-noodzakelijke categorieën zijn niet vooraf geselecteerd en niets doen of scrollen is geen toestemming.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U kunt het voorkeurencentrum altijd via de footer heropenen en toestemming intrekken of wijzigen.</w:t>
      </w:r>
    </w:p>
    <w:p>
      <w:pPr>
        <w:pStyle w:val="ListBullet"/>
        <w:spacing w:after="80"/>
        <w:ind w:left="720" w:hanging="360"/>
      </w:pPr>
      <w:r>
        <w:rPr>
          <w:rFonts w:ascii="Calibri" w:hAnsi="Calibri"/>
        </w:rPr>
        <w:t>Weigeren van niet-noodzakelijke technologie blokkeert normale websitetoegang niet, hoewel een optionele ingebedde functie niet beschikbaar kan blijven.</w:t>
      </w:r>
    </w:p>
    <w:p>
      <w:pPr>
        <w:pStyle w:val="Heading1"/>
        <w:keepNext/>
      </w:pPr>
      <w:r>
        <w:t>7. Gegevens en internationale doorgiften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Afhankelijk van het hulpmiddel kunnen gegevens IP-adres, cookie- of apparaat-ID's, browserinformatie, pagina- en campagnegebeurtenissen, globale locatie en toestemmingsstatus omvatten. Derden kunnen buiten de EER verwerken onder een adequaatheidsbesluit, EU-standaardcontractbepalingen of andere geldige waarborg. Details staan in het voorkeurencentrum en de privacy-informatie van de provider.</w:t>
      </w:r>
    </w:p>
    <w:p>
      <w:pPr>
        <w:pStyle w:val="Heading1"/>
        <w:keepNext/>
      </w:pPr>
      <w:r>
        <w:t>8. Bewaring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Noodzakelijke cookies worden alleen bewaard zolang nodig voor sessie, beveiliging of toestemmingsbewijs. De exacte levensduur van analyse- en advertentie-ID's wordt ingesteld op de kortst praktische termijn en in het voorkeurencentrum getoond. Server-side campagneregistraties volgen hetzelfde toestemmingsdoel en de toepasselijke retentie-instelling.</w:t>
      </w:r>
    </w:p>
    <w:p>
      <w:pPr>
        <w:pStyle w:val="Heading1"/>
        <w:keepNext/>
      </w:pPr>
      <w:r>
        <w:t>9. Browserinstellingen en contact</w:t>
      </w:r>
    </w:p>
    <w:p>
      <w:pPr>
        <w:keepLines w:val="0"/>
        <w:spacing w:after="120"/>
      </w:pPr>
      <w:r>
        <w:rPr>
          <w:rFonts w:ascii="Calibri" w:hAnsi="Calibri"/>
          <w:i w:val="0"/>
        </w:rPr>
        <w:t>Verwijderen of blokkeren via de browser kan cookies wissen, maar vervangt het websitevoorkeurencentrum niet. Voor vragen of privacyrechten: support@brightness-group.com. Zie de Brightness Privacyverklaring voor rechten, ontvangers en klachten.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1906" w:h="16838"/>
      <w:pgMar w:top="1247" w:right="1247" w:bottom="124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4B5563"/>
        <w:sz w:val="17"/>
      </w:rPr>
      <w:t xml:space="preserve">Cookieverklaring Brightness  |  v3.0  |  pagina </w:t>
    </w:r>
    <w:r>
      <w:rPr>
        <w:rFonts w:ascii="Calibri" w:hAnsi="Calibri"/>
        <w:color w:val="4B5563"/>
        <w:sz w:val="17"/>
      </w:rPr>
      <w:fldChar w:fldCharType="begin"/>
      <w:instrText xml:space="preserve">PAGE</w:instrText>
      <w:fldChar w:fldCharType="end"/>
    </w:r>
    <w:r>
      <w:rPr>
        <w:rFonts w:ascii="Calibri" w:hAnsi="Calibri"/>
        <w:color w:val="4B5563"/>
        <w:sz w:val="17"/>
      </w:rPr>
      <w:t xml:space="preserve"> van </w:t>
    </w:r>
    <w:r>
      <w:rPr>
        <w:rFonts w:ascii="Calibri" w:hAnsi="Calibri"/>
        <w:color w:val="4B5563"/>
        <w:sz w:val="17"/>
      </w:rPr>
      <w:fldChar w:fldCharType="begin"/>
      <w:instrText xml:space="preserve">NUMPAGES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4B5563"/>
        <w:sz w:val="17"/>
      </w:rPr>
      <w:t xml:space="preserve">Cookieverklaring Brightness  |  v3.0  |  pagina </w:t>
    </w:r>
    <w:r>
      <w:rPr>
        <w:rFonts w:ascii="Calibri" w:hAnsi="Calibri"/>
        <w:color w:val="4B5563"/>
        <w:sz w:val="17"/>
      </w:rPr>
      <w:fldChar w:fldCharType="begin"/>
      <w:instrText xml:space="preserve">PAGE</w:instrText>
      <w:fldChar w:fldCharType="end"/>
    </w:r>
    <w:r>
      <w:rPr>
        <w:rFonts w:ascii="Calibri" w:hAnsi="Calibri"/>
        <w:color w:val="4B5563"/>
        <w:sz w:val="17"/>
      </w:rPr>
      <w:t xml:space="preserve"> van </w:t>
    </w:r>
    <w:r>
      <w:rPr>
        <w:rFonts w:ascii="Calibri" w:hAnsi="Calibri"/>
        <w:color w:val="4B5563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9E1E7"/>
      </w:pBdr>
    </w:pPr>
    <w:r>
      <w:rPr>
        <w:rFonts w:ascii="Calibri" w:hAnsi="Calibri"/>
        <w:b/>
        <w:color w:val="176B87"/>
        <w:sz w:val="17"/>
      </w:rPr>
      <w:t>BRIGHTNESS  |  PRIVACY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9E1E7"/>
      </w:pBdr>
    </w:pPr>
    <w:r>
      <w:rPr>
        <w:rFonts w:ascii="Calibri" w:hAnsi="Calibri"/>
        <w:b/>
        <w:color w:val="176B87"/>
        <w:sz w:val="17"/>
      </w:rPr>
      <w:t>BRIGHTNESS  |  PRIVACY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76B8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64" w:lineRule="auto"/>
      <w:ind w:left="720" w:hanging="360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Cookieverklaring Brightness</dc:title>
  <dc:subject>Brightness legal and privacy documentation</dc:subject>
  <dc:creator>Brightness</dc:creator>
  <cp:keywords>Brightness, legal, privacy, GDPR, SaaS, software</cp:keywords>
  <dc:description>Controlled model v3.0</dc:description>
  <cp:lastModifiedBy>Brightness</cp:lastModifiedBy>
  <cp:revision>1</cp:revision>
  <dcterms:created xsi:type="dcterms:W3CDTF">2013-12-23T23:15:00Z</dcterms:created>
  <dcterms:modified xsi:type="dcterms:W3CDTF">2013-12-23T23:15:00Z</dcterms:modified>
  <cp:category/>
</cp:coreProperties>
</file>