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pPr>
      <w:r>
        <w:rPr>
          <w:rFonts w:ascii="Calibri" w:hAnsi="Calibri"/>
          <w:b/>
          <w:color w:val="00A6C8"/>
          <w:sz w:val="18"/>
        </w:rPr>
        <w:t>INTERNE IMPLEMENTATIE</w:t>
      </w:r>
    </w:p>
    <w:p>
      <w:pPr>
        <w:spacing w:after="100"/>
      </w:pPr>
      <w:r>
        <w:rPr>
          <w:rFonts w:ascii="Calibri" w:hAnsi="Calibri"/>
          <w:b/>
          <w:color w:val="17324D"/>
          <w:sz w:val="50"/>
        </w:rPr>
        <w:t>Implementatiehandleiding Juridische Documenten Brightness</w:t>
      </w:r>
    </w:p>
    <w:p>
      <w:pPr>
        <w:spacing w:after="320"/>
      </w:pPr>
      <w:r>
        <w:rPr>
          <w:rFonts w:ascii="Calibri" w:hAnsi="Calibri"/>
          <w:color w:val="4B5563"/>
          <w:sz w:val="25"/>
        </w:rPr>
        <w:t>Welk document geldt, wie het ondertekent en hoe websites, offertes en bestaande klanten worden bijgewerkt</w:t>
      </w:r>
    </w:p>
    <w:tbl>
      <w:tblPr>
        <w:tblStyle w:val="TableGrid"/>
        <w:tblW w:type="dxa" w:w="9411"/>
        <w:jc w:val="left"/>
        <w:tblLayout w:type="fixed"/>
        <w:tblLook w:firstColumn="1" w:firstRow="1" w:lastColumn="0" w:lastRow="0" w:noHBand="0" w:noVBand="1" w:val="04A0"/>
        <w:tblInd w:w="120" w:type="dxa"/>
      </w:tblPr>
      <w:tblGrid>
        <w:gridCol w:w="2100"/>
        <w:gridCol w:w="7311"/>
      </w:tblGrid>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Versie</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3.0</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Datum</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27 augustus 2026</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Contact</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support@brightness-group.com | +31 23 557 4211</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Status</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Interne beheerde handleiding - geen klantcontract</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9411"/>
      </w:tblGrid>
      <w:tr>
        <w:trPr>
          <w:cantSplit/>
        </w:trPr>
        <w:tc>
          <w:tcPr>
            <w:tcW w:type="dxa" w:w="9411"/>
            <w:shd w:fill="EAF4F7"/>
            <w:tcMar>
              <w:top w:w="90" w:type="dxa"/>
              <w:start w:w="120" w:type="dxa"/>
              <w:bottom w:w="90" w:type="dxa"/>
              <w:end w:w="120" w:type="dxa"/>
            </w:tcMar>
            <w:vAlign w:val="center"/>
          </w:tcPr>
          <w:p>
            <w:pPr>
              <w:spacing w:after="0"/>
            </w:pPr>
            <w:r>
              <w:rPr>
                <w:rFonts w:ascii="Calibri" w:hAnsi="Calibri"/>
                <w:b/>
                <w:color w:val="17324D"/>
                <w:sz w:val="19"/>
              </w:rPr>
              <w:t xml:space="preserve">Niet-onderhandelbare entiteitsregel: </w:t>
            </w:r>
            <w:r>
              <w:rPr>
                <w:rFonts w:ascii="Calibri" w:hAnsi="Calibri"/>
                <w:sz w:val="19"/>
              </w:rPr>
              <w:t>Brightness ICT B.V. beheert brightness-group.com en ontvangt centrale groepsaanvragen. Brightness Subscriptions B.V. beheert sparklecloud.ai. Brightness Group B.V. is alleen de holding/overkoepelende naam en mag niet als leverancier, websiteverantwoordelijke of garant worden genoemd.</w:t>
            </w:r>
          </w:p>
        </w:tc>
      </w:tr>
    </w:tbl>
    <w:p>
      <w:pPr>
        <w:spacing w:after="0"/>
      </w:pPr>
    </w:p>
    <w:p>
      <w:pPr>
        <w:pStyle w:val="Heading1"/>
        <w:keepNext/>
      </w:pPr>
      <w:r>
        <w:t>1. Beheerde documentset</w:t>
      </w:r>
    </w:p>
    <w:tbl>
      <w:tblPr>
        <w:tblStyle w:val="TableGrid"/>
        <w:tblW w:type="dxa" w:w="9411"/>
        <w:jc w:val="left"/>
        <w:tblLayout w:type="fixed"/>
        <w:tblLook w:firstColumn="1" w:firstRow="1" w:lastColumn="0" w:lastRow="0" w:noHBand="0" w:noVBand="1" w:val="04A0"/>
        <w:tblInd w:w="120" w:type="dxa"/>
      </w:tblPr>
      <w:tblGrid>
        <w:gridCol w:w="2000"/>
        <w:gridCol w:w="1900"/>
        <w:gridCol w:w="3400"/>
        <w:gridCol w:w="2111"/>
      </w:tblGrid>
      <w:tr>
        <w:trPr>
          <w:tblHeader w:val="true"/>
          <w:cantSplit/>
        </w:trPr>
        <w:tc>
          <w:tcPr>
            <w:tcW w:type="dxa" w:w="2000"/>
            <w:shd w:fill="17324D"/>
            <w:tcMar>
              <w:top w:w="90" w:type="dxa"/>
              <w:start w:w="120" w:type="dxa"/>
              <w:bottom w:w="90" w:type="dxa"/>
              <w:end w:w="120" w:type="dxa"/>
            </w:tcMar>
            <w:vAlign w:val="center"/>
          </w:tcPr>
          <w:p>
            <w:pPr>
              <w:spacing w:after="0"/>
            </w:pPr>
            <w:r>
              <w:rPr>
                <w:rFonts w:ascii="Calibri" w:hAnsi="Calibri"/>
                <w:b/>
                <w:color w:val="FFFFFF"/>
                <w:sz w:val="15"/>
              </w:rPr>
              <w:t>Document</w:t>
            </w:r>
          </w:p>
        </w:tc>
        <w:tc>
          <w:tcPr>
            <w:tcW w:type="dxa" w:w="1900"/>
            <w:shd w:fill="17324D"/>
            <w:tcMar>
              <w:top w:w="90" w:type="dxa"/>
              <w:start w:w="120" w:type="dxa"/>
              <w:bottom w:w="90" w:type="dxa"/>
              <w:end w:w="120" w:type="dxa"/>
            </w:tcMar>
            <w:vAlign w:val="center"/>
          </w:tcPr>
          <w:p>
            <w:pPr>
              <w:spacing w:after="0"/>
            </w:pPr>
            <w:r>
              <w:rPr>
                <w:rFonts w:ascii="Calibri" w:hAnsi="Calibri"/>
                <w:b/>
                <w:color w:val="FFFFFF"/>
                <w:sz w:val="15"/>
              </w:rPr>
              <w:t>Wanneer</w:t>
            </w:r>
          </w:p>
        </w:tc>
        <w:tc>
          <w:tcPr>
            <w:tcW w:type="dxa" w:w="3400"/>
            <w:shd w:fill="17324D"/>
            <w:tcMar>
              <w:top w:w="90" w:type="dxa"/>
              <w:start w:w="120" w:type="dxa"/>
              <w:bottom w:w="90" w:type="dxa"/>
              <w:end w:w="120" w:type="dxa"/>
            </w:tcMar>
            <w:vAlign w:val="center"/>
          </w:tcPr>
          <w:p>
            <w:pPr>
              <w:spacing w:after="0"/>
            </w:pPr>
            <w:r>
              <w:rPr>
                <w:rFonts w:ascii="Calibri" w:hAnsi="Calibri"/>
                <w:b/>
                <w:color w:val="FFFFFF"/>
                <w:sz w:val="15"/>
              </w:rPr>
              <w:t>Doel</w:t>
            </w:r>
          </w:p>
        </w:tc>
        <w:tc>
          <w:tcPr>
            <w:tcW w:type="dxa" w:w="2111"/>
            <w:shd w:fill="17324D"/>
            <w:tcMar>
              <w:top w:w="90" w:type="dxa"/>
              <w:start w:w="120" w:type="dxa"/>
              <w:bottom w:w="90" w:type="dxa"/>
              <w:end w:w="120" w:type="dxa"/>
            </w:tcMar>
            <w:vAlign w:val="center"/>
          </w:tcPr>
          <w:p>
            <w:pPr>
              <w:spacing w:after="0"/>
            </w:pPr>
            <w:r>
              <w:rPr>
                <w:rFonts w:ascii="Calibri" w:hAnsi="Calibri"/>
                <w:b/>
                <w:color w:val="FFFFFF"/>
                <w:sz w:val="15"/>
              </w:rPr>
              <w:t>Aanvaarding</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Offerte/orderformulier</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Iedere nieuwe opdracht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Noemt leverancier, scope, prijs, duur, SLA, taal en versies van bijlagen</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Aanvaard/ondertekend</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Algemene B2B-voorwaarden</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Iedere B2B-opdracht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Standaard commercieel en aansprakelijkheidskader</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Van toepassing verklaren en vóór aanvaarding verstrekken</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SparkleCloud-raamwerk/SLA</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Bij verkoop SparkleCloud of specifiek serviceniveau</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Modules, duur, serviceniveaus, RPO/RTO en operationele scope</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Met offerte aanvaard; SLA alleen indien ingevuld</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Verwerkersovereenkomst</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Als Brightness persoonsgegevens voor klant verwerkt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Artikel 28 AVG-voorwaarden</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Apart tekenen of duidelijk opnemen in getekende offerte</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Verwerkingsbijlage</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Iedere verwerkingsopdracht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Klantspecifieke verwerking, entiteiten, data, locaties en instructies</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Invullen en met offerte aanvaarden</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Beveiligingsbijlage</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Iedere verwerkingsopdracht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Technische en organisatorische basismaatregelen</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Met versie van toepassing verklaren</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Subverwerkersregister</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Iedere verwerkingsopdracht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Geautoriseerde verwerkingsketen</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Actuele versie verstrekken en wijzigingen melden</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Aanvulling bestaande klant</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Bestaande offerte zonder privacyset</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Voegt AVG-pakket toe zonder commerciële wijziging</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Tekenen of elektronisch aanvaarden</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Beleid Aanvaardbaar Gebruik</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SparkleCloud, hosted platforms, API's en AI</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Gedrag klant en gebruikers</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In offerte opnemen</w:t>
            </w:r>
          </w:p>
        </w:tc>
      </w:tr>
      <w:tr>
        <w:trPr>
          <w:cantSplit/>
        </w:trPr>
        <w:tc>
          <w:tcPr>
            <w:tcW w:type="dxa" w:w="2000"/>
            <w:tcMar>
              <w:top w:w="90" w:type="dxa"/>
              <w:start w:w="120" w:type="dxa"/>
              <w:bottom w:w="90" w:type="dxa"/>
              <w:end w:w="120" w:type="dxa"/>
            </w:tcMar>
            <w:vAlign w:val="center"/>
          </w:tcPr>
          <w:p>
            <w:pPr>
              <w:spacing w:after="0"/>
            </w:pPr>
            <w:r>
              <w:rPr>
                <w:rFonts w:ascii="Calibri" w:hAnsi="Calibri"/>
                <w:b w:val="0"/>
                <w:color w:val="111827"/>
                <w:sz w:val="15"/>
              </w:rPr>
              <w:t>Privacy/Cookie/Website-documenten</w:t>
            </w:r>
          </w:p>
        </w:tc>
        <w:tc>
          <w:tcPr>
            <w:tcW w:type="dxa" w:w="1900"/>
            <w:tcMar>
              <w:top w:w="90" w:type="dxa"/>
              <w:start w:w="120" w:type="dxa"/>
              <w:bottom w:w="90" w:type="dxa"/>
              <w:end w:w="120" w:type="dxa"/>
            </w:tcMar>
            <w:vAlign w:val="center"/>
          </w:tcPr>
          <w:p>
            <w:pPr>
              <w:spacing w:after="0"/>
            </w:pPr>
            <w:r>
              <w:rPr>
                <w:rFonts w:ascii="Calibri" w:hAnsi="Calibri"/>
                <w:b w:val="0"/>
                <w:color w:val="111827"/>
                <w:sz w:val="15"/>
              </w:rPr>
              <w:t>Openbare websites en eigen controllerverwerking</w:t>
            </w:r>
          </w:p>
        </w:tc>
        <w:tc>
          <w:tcPr>
            <w:tcW w:type="dxa" w:w="3400"/>
            <w:tcMar>
              <w:top w:w="90" w:type="dxa"/>
              <w:start w:w="120" w:type="dxa"/>
              <w:bottom w:w="90" w:type="dxa"/>
              <w:end w:w="120" w:type="dxa"/>
            </w:tcMar>
            <w:vAlign w:val="center"/>
          </w:tcPr>
          <w:p>
            <w:pPr>
              <w:spacing w:after="0"/>
            </w:pPr>
            <w:r>
              <w:rPr>
                <w:rFonts w:ascii="Calibri" w:hAnsi="Calibri"/>
                <w:b w:val="0"/>
                <w:color w:val="111827"/>
                <w:sz w:val="15"/>
              </w:rPr>
              <w:t>Transparantie en websiteregels</w:t>
            </w:r>
          </w:p>
        </w:tc>
        <w:tc>
          <w:tcPr>
            <w:tcW w:type="dxa" w:w="2111"/>
            <w:tcMar>
              <w:top w:w="90" w:type="dxa"/>
              <w:start w:w="120" w:type="dxa"/>
              <w:bottom w:w="90" w:type="dxa"/>
              <w:end w:w="120" w:type="dxa"/>
            </w:tcMar>
            <w:vAlign w:val="center"/>
          </w:tcPr>
          <w:p>
            <w:pPr>
              <w:spacing w:after="0"/>
            </w:pPr>
            <w:r>
              <w:rPr>
                <w:rFonts w:ascii="Calibri" w:hAnsi="Calibri"/>
                <w:b w:val="0"/>
                <w:color w:val="111827"/>
                <w:sz w:val="15"/>
              </w:rPr>
              <w:t>Publiceren; geen handtekening</w:t>
            </w:r>
          </w:p>
        </w:tc>
      </w:tr>
    </w:tbl>
    <w:p>
      <w:pPr>
        <w:spacing w:after="0"/>
      </w:pPr>
    </w:p>
    <w:p>
      <w:pPr>
        <w:pStyle w:val="Heading1"/>
        <w:keepNext/>
      </w:pPr>
      <w:r>
        <w:t>2. Publicatiematrix websites</w:t>
      </w:r>
    </w:p>
    <w:tbl>
      <w:tblPr>
        <w:tblStyle w:val="TableGrid"/>
        <w:tblW w:type="dxa" w:w="9411"/>
        <w:jc w:val="left"/>
        <w:tblLayout w:type="fixed"/>
        <w:tblLook w:firstColumn="1" w:firstRow="1" w:lastColumn="0" w:lastRow="0" w:noHBand="0" w:noVBand="1" w:val="04A0"/>
        <w:tblInd w:w="120" w:type="dxa"/>
      </w:tblPr>
      <w:tblGrid>
        <w:gridCol w:w="2300"/>
        <w:gridCol w:w="4700"/>
        <w:gridCol w:w="2411"/>
      </w:tblGrid>
      <w:tr>
        <w:trPr>
          <w:tblHeader w:val="true"/>
          <w:cantSplit/>
        </w:trPr>
        <w:tc>
          <w:tcPr>
            <w:tcW w:type="dxa" w:w="2300"/>
            <w:shd w:fill="17324D"/>
            <w:tcMar>
              <w:top w:w="90" w:type="dxa"/>
              <w:start w:w="120" w:type="dxa"/>
              <w:bottom w:w="90" w:type="dxa"/>
              <w:end w:w="120" w:type="dxa"/>
            </w:tcMar>
            <w:vAlign w:val="center"/>
          </w:tcPr>
          <w:p>
            <w:pPr>
              <w:spacing w:after="0"/>
            </w:pPr>
            <w:r>
              <w:rPr>
                <w:rFonts w:ascii="Calibri" w:hAnsi="Calibri"/>
                <w:b/>
                <w:color w:val="FFFFFF"/>
                <w:sz w:val="16"/>
              </w:rPr>
              <w:t>Website/locatie</w:t>
            </w:r>
          </w:p>
        </w:tc>
        <w:tc>
          <w:tcPr>
            <w:tcW w:type="dxa" w:w="4700"/>
            <w:shd w:fill="17324D"/>
            <w:tcMar>
              <w:top w:w="90" w:type="dxa"/>
              <w:start w:w="120" w:type="dxa"/>
              <w:bottom w:w="90" w:type="dxa"/>
              <w:end w:w="120" w:type="dxa"/>
            </w:tcMar>
            <w:vAlign w:val="center"/>
          </w:tcPr>
          <w:p>
            <w:pPr>
              <w:spacing w:after="0"/>
            </w:pPr>
            <w:r>
              <w:rPr>
                <w:rFonts w:ascii="Calibri" w:hAnsi="Calibri"/>
                <w:b/>
                <w:color w:val="FFFFFF"/>
                <w:sz w:val="16"/>
              </w:rPr>
              <w:t>Vereiste publicatie</w:t>
            </w:r>
          </w:p>
        </w:tc>
        <w:tc>
          <w:tcPr>
            <w:tcW w:type="dxa" w:w="2411"/>
            <w:shd w:fill="17324D"/>
            <w:tcMar>
              <w:top w:w="90" w:type="dxa"/>
              <w:start w:w="120" w:type="dxa"/>
              <w:bottom w:w="90" w:type="dxa"/>
              <w:end w:w="120" w:type="dxa"/>
            </w:tcMar>
            <w:vAlign w:val="center"/>
          </w:tcPr>
          <w:p>
            <w:pPr>
              <w:spacing w:after="0"/>
            </w:pPr>
            <w:r>
              <w:rPr>
                <w:rFonts w:ascii="Calibri" w:hAnsi="Calibri"/>
                <w:b/>
                <w:color w:val="FFFFFF"/>
                <w:sz w:val="16"/>
              </w:rPr>
              <w:t>Verantwoordelijke eigenaar</w:t>
            </w:r>
          </w:p>
        </w:tc>
      </w:tr>
      <w:tr>
        <w:trPr>
          <w:cantSplit/>
        </w:trPr>
        <w:tc>
          <w:tcPr>
            <w:tcW w:type="dxa" w:w="2300"/>
            <w:tcMar>
              <w:top w:w="90" w:type="dxa"/>
              <w:start w:w="120" w:type="dxa"/>
              <w:bottom w:w="90" w:type="dxa"/>
              <w:end w:w="120" w:type="dxa"/>
            </w:tcMar>
            <w:vAlign w:val="center"/>
          </w:tcPr>
          <w:p>
            <w:pPr>
              <w:spacing w:after="0"/>
            </w:pPr>
            <w:r>
              <w:rPr>
                <w:rFonts w:ascii="Calibri" w:hAnsi="Calibri"/>
                <w:b w:val="0"/>
                <w:color w:val="111827"/>
                <w:sz w:val="16"/>
              </w:rPr>
              <w:t>brightness-group.com footer</w:t>
            </w:r>
          </w:p>
        </w:tc>
        <w:tc>
          <w:tcPr>
            <w:tcW w:type="dxa" w:w="4700"/>
            <w:tcMar>
              <w:top w:w="90" w:type="dxa"/>
              <w:start w:w="120" w:type="dxa"/>
              <w:bottom w:w="90" w:type="dxa"/>
              <w:end w:w="120" w:type="dxa"/>
            </w:tcMar>
            <w:vAlign w:val="center"/>
          </w:tcPr>
          <w:p>
            <w:pPr>
              <w:spacing w:after="0"/>
            </w:pPr>
            <w:r>
              <w:rPr>
                <w:rFonts w:ascii="Calibri" w:hAnsi="Calibri"/>
                <w:b w:val="0"/>
                <w:color w:val="111827"/>
                <w:sz w:val="16"/>
              </w:rPr>
              <w:t>Juridische entiteitsinfo; Privacy; Cookies; Websitevoorwaarden/Disclaimer; Algemene voorwaarden; AVG-pakket</w:t>
            </w:r>
          </w:p>
        </w:tc>
        <w:tc>
          <w:tcPr>
            <w:tcW w:type="dxa" w:w="2411"/>
            <w:tcMar>
              <w:top w:w="90" w:type="dxa"/>
              <w:start w:w="120" w:type="dxa"/>
              <w:bottom w:w="90" w:type="dxa"/>
              <w:end w:w="120" w:type="dxa"/>
            </w:tcMar>
            <w:vAlign w:val="center"/>
          </w:tcPr>
          <w:p>
            <w:pPr>
              <w:spacing w:after="0"/>
            </w:pPr>
            <w:r>
              <w:rPr>
                <w:rFonts w:ascii="Calibri" w:hAnsi="Calibri"/>
                <w:b w:val="0"/>
                <w:color w:val="111827"/>
                <w:sz w:val="16"/>
              </w:rPr>
              <w:t>Brightness ICT B.V.</w:t>
            </w:r>
          </w:p>
        </w:tc>
      </w:tr>
      <w:tr>
        <w:trPr>
          <w:cantSplit/>
        </w:trPr>
        <w:tc>
          <w:tcPr>
            <w:tcW w:type="dxa" w:w="2300"/>
            <w:tcMar>
              <w:top w:w="90" w:type="dxa"/>
              <w:start w:w="120" w:type="dxa"/>
              <w:bottom w:w="90" w:type="dxa"/>
              <w:end w:w="120" w:type="dxa"/>
            </w:tcMar>
            <w:vAlign w:val="center"/>
          </w:tcPr>
          <w:p>
            <w:pPr>
              <w:spacing w:after="0"/>
            </w:pPr>
            <w:r>
              <w:rPr>
                <w:rFonts w:ascii="Calibri" w:hAnsi="Calibri"/>
                <w:b w:val="0"/>
                <w:color w:val="111827"/>
                <w:sz w:val="16"/>
              </w:rPr>
              <w:t>sparklecloud.ai footer</w:t>
            </w:r>
          </w:p>
        </w:tc>
        <w:tc>
          <w:tcPr>
            <w:tcW w:type="dxa" w:w="4700"/>
            <w:tcMar>
              <w:top w:w="90" w:type="dxa"/>
              <w:start w:w="120" w:type="dxa"/>
              <w:bottom w:w="90" w:type="dxa"/>
              <w:end w:w="120" w:type="dxa"/>
            </w:tcMar>
            <w:vAlign w:val="center"/>
          </w:tcPr>
          <w:p>
            <w:pPr>
              <w:spacing w:after="0"/>
            </w:pPr>
            <w:r>
              <w:rPr>
                <w:rFonts w:ascii="Calibri" w:hAnsi="Calibri"/>
                <w:b w:val="0"/>
                <w:color w:val="111827"/>
                <w:sz w:val="16"/>
              </w:rPr>
              <w:t>Dezelfde centrale juridische set plus Beleid Aanvaardbaar Gebruik en SparkleCloud-offerte/SLA-links</w:t>
            </w:r>
          </w:p>
        </w:tc>
        <w:tc>
          <w:tcPr>
            <w:tcW w:type="dxa" w:w="2411"/>
            <w:tcMar>
              <w:top w:w="90" w:type="dxa"/>
              <w:start w:w="120" w:type="dxa"/>
              <w:bottom w:w="90" w:type="dxa"/>
              <w:end w:w="120" w:type="dxa"/>
            </w:tcMar>
            <w:vAlign w:val="center"/>
          </w:tcPr>
          <w:p>
            <w:pPr>
              <w:spacing w:after="0"/>
            </w:pPr>
            <w:r>
              <w:rPr>
                <w:rFonts w:ascii="Calibri" w:hAnsi="Calibri"/>
                <w:b w:val="0"/>
                <w:color w:val="111827"/>
                <w:sz w:val="16"/>
              </w:rPr>
              <w:t>Brightness Subscriptions B.V.</w:t>
            </w:r>
          </w:p>
        </w:tc>
      </w:tr>
      <w:tr>
        <w:trPr>
          <w:cantSplit/>
        </w:trPr>
        <w:tc>
          <w:tcPr>
            <w:tcW w:type="dxa" w:w="2300"/>
            <w:tcMar>
              <w:top w:w="90" w:type="dxa"/>
              <w:start w:w="120" w:type="dxa"/>
              <w:bottom w:w="90" w:type="dxa"/>
              <w:end w:w="120" w:type="dxa"/>
            </w:tcMar>
            <w:vAlign w:val="center"/>
          </w:tcPr>
          <w:p>
            <w:pPr>
              <w:spacing w:after="0"/>
            </w:pPr>
            <w:r>
              <w:rPr>
                <w:rFonts w:ascii="Calibri" w:hAnsi="Calibri"/>
                <w:b w:val="0"/>
                <w:color w:val="111827"/>
                <w:sz w:val="16"/>
              </w:rPr>
              <w:t>Cookie preference centre</w:t>
            </w:r>
          </w:p>
        </w:tc>
        <w:tc>
          <w:tcPr>
            <w:tcW w:type="dxa" w:w="4700"/>
            <w:tcMar>
              <w:top w:w="90" w:type="dxa"/>
              <w:start w:w="120" w:type="dxa"/>
              <w:bottom w:w="90" w:type="dxa"/>
              <w:end w:w="120" w:type="dxa"/>
            </w:tcMar>
            <w:vAlign w:val="center"/>
          </w:tcPr>
          <w:p>
            <w:pPr>
              <w:spacing w:after="0"/>
            </w:pPr>
            <w:r>
              <w:rPr>
                <w:rFonts w:ascii="Calibri" w:hAnsi="Calibri"/>
                <w:b w:val="0"/>
                <w:color w:val="111827"/>
                <w:sz w:val="16"/>
              </w:rPr>
              <w:t>Actuele cookie-/event-/providerlijst, doelen, retentie en toestemmingsbeheer</w:t>
            </w:r>
          </w:p>
        </w:tc>
        <w:tc>
          <w:tcPr>
            <w:tcW w:type="dxa" w:w="2411"/>
            <w:tcMar>
              <w:top w:w="90" w:type="dxa"/>
              <w:start w:w="120" w:type="dxa"/>
              <w:bottom w:w="90" w:type="dxa"/>
              <w:end w:w="120" w:type="dxa"/>
            </w:tcMar>
            <w:vAlign w:val="center"/>
          </w:tcPr>
          <w:p>
            <w:pPr>
              <w:spacing w:after="0"/>
            </w:pPr>
            <w:r>
              <w:rPr>
                <w:rFonts w:ascii="Calibri" w:hAnsi="Calibri"/>
                <w:b w:val="0"/>
                <w:color w:val="111827"/>
                <w:sz w:val="16"/>
              </w:rPr>
              <w:t>Websitebeheerder met ICT-uitvoering</w:t>
            </w:r>
          </w:p>
        </w:tc>
      </w:tr>
      <w:tr>
        <w:trPr>
          <w:cantSplit/>
        </w:trPr>
        <w:tc>
          <w:tcPr>
            <w:tcW w:type="dxa" w:w="2300"/>
            <w:tcMar>
              <w:top w:w="90" w:type="dxa"/>
              <w:start w:w="120" w:type="dxa"/>
              <w:bottom w:w="90" w:type="dxa"/>
              <w:end w:w="120" w:type="dxa"/>
            </w:tcMar>
            <w:vAlign w:val="center"/>
          </w:tcPr>
          <w:p>
            <w:pPr>
              <w:spacing w:after="0"/>
            </w:pPr>
            <w:r>
              <w:rPr>
                <w:rFonts w:ascii="Calibri" w:hAnsi="Calibri"/>
                <w:b w:val="0"/>
                <w:color w:val="111827"/>
                <w:sz w:val="16"/>
              </w:rPr>
              <w:t>Quotation email/portal</w:t>
            </w:r>
          </w:p>
        </w:tc>
        <w:tc>
          <w:tcPr>
            <w:tcW w:type="dxa" w:w="4700"/>
            <w:tcMar>
              <w:top w:w="90" w:type="dxa"/>
              <w:start w:w="120" w:type="dxa"/>
              <w:bottom w:w="90" w:type="dxa"/>
              <w:end w:w="120" w:type="dxa"/>
            </w:tcMar>
            <w:vAlign w:val="center"/>
          </w:tcPr>
          <w:p>
            <w:pPr>
              <w:spacing w:after="0"/>
            </w:pPr>
            <w:r>
              <w:rPr>
                <w:rFonts w:ascii="Calibri" w:hAnsi="Calibri"/>
                <w:b w:val="0"/>
                <w:color w:val="111827"/>
                <w:sz w:val="16"/>
              </w:rPr>
              <w:t>Werkelijke PDF/DOCX-versies vóór aanvaarding verstrekken, niet alleen footerlink</w:t>
            </w:r>
          </w:p>
        </w:tc>
        <w:tc>
          <w:tcPr>
            <w:tcW w:type="dxa" w:w="2411"/>
            <w:tcMar>
              <w:top w:w="90" w:type="dxa"/>
              <w:start w:w="120" w:type="dxa"/>
              <w:bottom w:w="90" w:type="dxa"/>
              <w:end w:w="120" w:type="dxa"/>
            </w:tcMar>
            <w:vAlign w:val="center"/>
          </w:tcPr>
          <w:p>
            <w:pPr>
              <w:spacing w:after="0"/>
            </w:pPr>
            <w:r>
              <w:rPr>
                <w:rFonts w:ascii="Calibri" w:hAnsi="Calibri"/>
                <w:b w:val="0"/>
                <w:color w:val="111827"/>
                <w:sz w:val="16"/>
              </w:rPr>
              <w:t>Contracterende Entiteit</w:t>
            </w:r>
          </w:p>
        </w:tc>
      </w:tr>
    </w:tbl>
    <w:p>
      <w:pPr>
        <w:spacing w:after="0"/>
      </w:pPr>
    </w:p>
    <w:p>
      <w:pPr>
        <w:pStyle w:val="Heading1"/>
        <w:keepNext/>
      </w:pPr>
      <w:r>
        <w:t>3. Workflow nieuwe klant</w:t>
      </w:r>
    </w:p>
    <w:p>
      <w:pPr>
        <w:pStyle w:val="ListNumber"/>
        <w:spacing w:after="80"/>
        <w:ind w:left="720" w:hanging="360"/>
      </w:pPr>
      <w:r>
        <w:rPr>
          <w:rFonts w:ascii="Calibri" w:hAnsi="Calibri"/>
        </w:rPr>
        <w:t>Selecteer iedere Contracterende Entiteit en wijs iedere dienst- en prijsregel aan precies één entiteit toe.</w:t>
      </w:r>
    </w:p>
    <w:p>
      <w:pPr>
        <w:pStyle w:val="ListNumber"/>
        <w:spacing w:after="80"/>
        <w:ind w:left="720" w:hanging="360"/>
      </w:pPr>
      <w:r>
        <w:rPr>
          <w:rFonts w:ascii="Calibri" w:hAnsi="Calibri"/>
        </w:rPr>
        <w:t>Selecteer voor SparkleCloud normaal Brightness Subscriptions B.V.; selecteer Brightness ICT B.V. apart voor Nederlandse maatwerkuren.</w:t>
      </w:r>
    </w:p>
    <w:p>
      <w:pPr>
        <w:pStyle w:val="ListNumber"/>
        <w:spacing w:after="80"/>
        <w:ind w:left="720" w:hanging="360"/>
      </w:pPr>
      <w:r>
        <w:rPr>
          <w:rFonts w:ascii="Calibri" w:hAnsi="Calibri"/>
        </w:rPr>
        <w:t>Vul de Verwerkingsbijlage in: verantwoordelijke, Brightness-verwerker, gegevens, betrokkenen, doelen, locaties, bijzondere data, AI-providers en India-toestemming.</w:t>
      </w:r>
    </w:p>
    <w:p>
      <w:pPr>
        <w:pStyle w:val="ListNumber"/>
        <w:spacing w:after="80"/>
        <w:ind w:left="720" w:hanging="360"/>
      </w:pPr>
      <w:r>
        <w:rPr>
          <w:rFonts w:ascii="Calibri" w:hAnsi="Calibri"/>
        </w:rPr>
        <w:t>Vul de SLA alleen in waar gekocht; lege velden zijn geen toezeggingen.</w:t>
      </w:r>
    </w:p>
    <w:p>
      <w:pPr>
        <w:pStyle w:val="ListNumber"/>
        <w:spacing w:after="80"/>
        <w:ind w:left="720" w:hanging="360"/>
      </w:pPr>
      <w:r>
        <w:rPr>
          <w:rFonts w:ascii="Calibri" w:hAnsi="Calibri"/>
        </w:rPr>
        <w:t>Voeg vóór aanvaarding de toepasselijke taal/versie toe van Algemene voorwaarden, Verwerkersovereenkomst, Verwerkingsbijlage, Beveiligingsbijlage, Subverwerkersregister en AUP.</w:t>
      </w:r>
    </w:p>
    <w:p>
      <w:pPr>
        <w:pStyle w:val="ListNumber"/>
        <w:spacing w:after="80"/>
        <w:ind w:left="720" w:hanging="360"/>
      </w:pPr>
      <w:r>
        <w:rPr>
          <w:rFonts w:ascii="Calibri" w:hAnsi="Calibri"/>
        </w:rPr>
        <w:t>Verkrijg één aanvaarding die documenten, versies en data uitdrukkelijk noemt. Iedere geselecteerde leverancier aanvaardt alleen eigen scope.</w:t>
      </w:r>
    </w:p>
    <w:p>
      <w:pPr>
        <w:pStyle w:val="Heading1"/>
        <w:keepNext/>
      </w:pPr>
      <w:r>
        <w:t>4. Workflow bestaande klant</w:t>
      </w:r>
    </w:p>
    <w:p>
      <w:pPr>
        <w:pStyle w:val="ListNumber"/>
        <w:spacing w:after="80"/>
        <w:ind w:left="720" w:hanging="360"/>
      </w:pPr>
      <w:r>
        <w:rPr>
          <w:rFonts w:ascii="Calibri" w:hAnsi="Calibri"/>
        </w:rPr>
        <w:t>Niet terugdateren. Gebruik de Aanvullingsbijlage bestaande klant met werkelijke ingangsdatum.</w:t>
      </w:r>
    </w:p>
    <w:p>
      <w:pPr>
        <w:pStyle w:val="ListNumber"/>
        <w:spacing w:after="80"/>
        <w:ind w:left="720" w:hanging="360"/>
      </w:pPr>
      <w:r>
        <w:rPr>
          <w:rFonts w:ascii="Calibri" w:hAnsi="Calibri"/>
        </w:rPr>
        <w:t>Identificeer oorspronkelijke offerte, actuele leverancier(s) en doorlopende verwerking.</w:t>
      </w:r>
    </w:p>
    <w:p>
      <w:pPr>
        <w:pStyle w:val="ListNumber"/>
        <w:spacing w:after="80"/>
        <w:ind w:left="720" w:hanging="360"/>
      </w:pPr>
      <w:r>
        <w:rPr>
          <w:rFonts w:ascii="Calibri" w:hAnsi="Calibri"/>
        </w:rPr>
        <w:t>Voeg de ingevulde Verwerkingsbijlage en exacte versies van Verwerkersovereenkomst, Beveiligingsbijlage en Subverwerkersregister toe of identificeer die.</w:t>
      </w:r>
    </w:p>
    <w:p>
      <w:pPr>
        <w:pStyle w:val="ListNumber"/>
        <w:spacing w:after="80"/>
        <w:ind w:left="720" w:hanging="360"/>
      </w:pPr>
      <w:r>
        <w:rPr>
          <w:rFonts w:ascii="Calibri" w:hAnsi="Calibri"/>
        </w:rPr>
        <w:t>De aanvulling wijzigt alleen privacyafspraken, tenzij een andere wijziging uitdrukkelijk is opgeschreven.</w:t>
      </w:r>
    </w:p>
    <w:p>
      <w:pPr>
        <w:pStyle w:val="Heading1"/>
        <w:keepNext/>
      </w:pPr>
      <w:r>
        <w:t>5. Modeltekst toepasselijkverklaring</w:t>
      </w:r>
    </w:p>
    <w:tbl>
      <w:tblPr>
        <w:tblStyle w:val="TableGrid"/>
        <w:tblW w:type="dxa" w:w="9411"/>
        <w:jc w:val="left"/>
        <w:tblLayout w:type="fixed"/>
        <w:tblLook w:firstColumn="1" w:firstRow="1" w:lastColumn="0" w:lastRow="0" w:noHBand="0" w:noVBand="1" w:val="04A0"/>
        <w:tblInd w:w="120" w:type="dxa"/>
      </w:tblPr>
      <w:tblGrid>
        <w:gridCol w:w="9411"/>
      </w:tblGrid>
      <w:tr>
        <w:trPr>
          <w:cantSplit/>
        </w:trPr>
        <w:tc>
          <w:tcPr>
            <w:tcW w:type="dxa" w:w="9411"/>
            <w:shd w:fill="EAF4F7"/>
            <w:tcMar>
              <w:top w:w="90" w:type="dxa"/>
              <w:start w:w="120" w:type="dxa"/>
              <w:bottom w:w="90" w:type="dxa"/>
              <w:end w:w="120" w:type="dxa"/>
            </w:tcMar>
            <w:vAlign w:val="center"/>
          </w:tcPr>
          <w:p>
            <w:pPr>
              <w:spacing w:after="0"/>
            </w:pPr>
            <w:r>
              <w:rPr>
                <w:rFonts w:ascii="Calibri" w:hAnsi="Calibri"/>
                <w:b/>
                <w:color w:val="17324D"/>
                <w:sz w:val="19"/>
              </w:rPr>
              <w:t xml:space="preserve">Nederlandse offerteclausule: </w:t>
            </w:r>
            <w:r>
              <w:rPr>
                <w:rFonts w:ascii="Calibri" w:hAnsi="Calibri"/>
                <w:sz w:val="19"/>
              </w:rPr>
              <w:t>Door deze Offerte te ondertekenen of elektronisch te aanvaarden, aanvaardt de Klant de Algemene B2B-voorwaarden Brightness v3.0 van 27 augustus 2026 en, wanneer persoonsgegevens namens de Klant worden verwerkt, de Verwerkersovereenkomst Brightness v2.0, ingevulde Verwerkingsbijlage Klant/Offerte, Beveiligingsbijlage Brightness v2.0 en het aangewezen Subverwerkersregister. Het Beleid Aanvaardbaar Gebruik SparkleCloud v3.0 geldt tevens waar SparkleCloud, hosted functionaliteit, API's of AI-functies zijn geselecteerd. De documenten zijn vóór aanvaarding verstrekt en kunnen door de Klant worden opgeslagen.</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9411"/>
      </w:tblGrid>
      <w:tr>
        <w:trPr>
          <w:cantSplit/>
        </w:trPr>
        <w:tc>
          <w:tcPr>
            <w:tcW w:type="dxa" w:w="9411"/>
            <w:shd w:fill="F2F4F7"/>
            <w:tcMar>
              <w:top w:w="90" w:type="dxa"/>
              <w:start w:w="120" w:type="dxa"/>
              <w:bottom w:w="90" w:type="dxa"/>
              <w:end w:w="120" w:type="dxa"/>
            </w:tcMar>
            <w:vAlign w:val="center"/>
          </w:tcPr>
          <w:p>
            <w:pPr>
              <w:spacing w:after="0"/>
            </w:pPr>
            <w:r>
              <w:rPr>
                <w:rFonts w:ascii="Calibri" w:hAnsi="Calibri"/>
                <w:b/>
                <w:color w:val="17324D"/>
                <w:sz w:val="19"/>
              </w:rPr>
              <w:t xml:space="preserve">English quotation clause: </w:t>
            </w:r>
            <w:r>
              <w:rPr>
                <w:rFonts w:ascii="Calibri" w:hAnsi="Calibri"/>
                <w:sz w:val="19"/>
              </w:rPr>
              <w:t>By signing or electronically accepting this Quotation, the Customer accepts the Brightness contract documents identified in the Quotation by title, version and date. The documents were supplied before acceptance and may be stored by the Customer.</w:t>
            </w:r>
          </w:p>
        </w:tc>
      </w:tr>
    </w:tbl>
    <w:p>
      <w:pPr>
        <w:spacing w:after="0"/>
      </w:pPr>
    </w:p>
    <w:p>
      <w:pPr>
        <w:pStyle w:val="Heading1"/>
        <w:keepNext/>
      </w:pPr>
      <w:r>
        <w:t>6. Taal en rangorde</w:t>
      </w:r>
    </w:p>
    <w:p>
      <w:pPr>
        <w:pStyle w:val="ListBullet"/>
        <w:spacing w:after="80"/>
        <w:ind w:left="720" w:hanging="360"/>
      </w:pPr>
      <w:r>
        <w:rPr>
          <w:rFonts w:ascii="Calibri" w:hAnsi="Calibri"/>
        </w:rPr>
        <w:t>Gebruik Nederlandse documenten voor Nederlandse klanten en Engelse voor internationale klanten, tenzij de offerte anders bepaalt.</w:t>
      </w:r>
    </w:p>
    <w:p>
      <w:pPr>
        <w:pStyle w:val="ListBullet"/>
        <w:spacing w:after="80"/>
        <w:ind w:left="720" w:hanging="360"/>
      </w:pPr>
      <w:r>
        <w:rPr>
          <w:rFonts w:ascii="Calibri" w:hAnsi="Calibri"/>
        </w:rPr>
        <w:t>Vermeld welke taal voorgaat. Bij Nederlandse entiteiten gaat standaard Nederlands voor; bij de Indiase onderneming standaard Engels.</w:t>
      </w:r>
    </w:p>
    <w:p>
      <w:pPr>
        <w:pStyle w:val="ListBullet"/>
        <w:spacing w:after="80"/>
        <w:ind w:left="720" w:hanging="360"/>
      </w:pPr>
      <w:r>
        <w:rPr>
          <w:rFonts w:ascii="Calibri" w:hAnsi="Calibri"/>
        </w:rPr>
        <w:t>Bij privacyconflict: ingevulde Verwerkingsbijlage, Verwerkersovereenkomst, uitdrukkelijk hoger beveiligingsniveau, daarna standaard Beveiligingsbijlage/Register. Commercieel: Offerte, specifieke SLA/SOW, Algemene voorwaarden, AUP.</w:t>
      </w:r>
    </w:p>
    <w:p>
      <w:pPr>
        <w:pStyle w:val="Heading1"/>
        <w:keepNext/>
      </w:pPr>
      <w:r>
        <w:t>7. Publicatiepoort cookies</w:t>
      </w:r>
    </w:p>
    <w:p>
      <w:pPr>
        <w:pStyle w:val="ListBullet"/>
        <w:spacing w:after="80"/>
        <w:ind w:left="720" w:hanging="360"/>
      </w:pPr>
      <w:r>
        <w:rPr>
          <w:rFonts w:ascii="Calibri" w:hAnsi="Calibri"/>
        </w:rPr>
        <w:t>Voer een technische scan uit van beide domeinen, subdomeinen en ingelogde delen.</w:t>
      </w:r>
    </w:p>
    <w:p>
      <w:pPr>
        <w:pStyle w:val="ListBullet"/>
        <w:spacing w:after="80"/>
        <w:ind w:left="720" w:hanging="360"/>
      </w:pPr>
      <w:r>
        <w:rPr>
          <w:rFonts w:ascii="Calibri" w:hAnsi="Calibri"/>
        </w:rPr>
        <w:t>Registreer iedere cookie, local-storage-key, pixel, tag, SDK, embed en server-side gebeurtenis.</w:t>
      </w:r>
    </w:p>
    <w:p>
      <w:pPr>
        <w:pStyle w:val="ListBullet"/>
        <w:spacing w:after="80"/>
        <w:ind w:left="720" w:hanging="360"/>
      </w:pPr>
      <w:r>
        <w:rPr>
          <w:rFonts w:ascii="Calibri" w:hAnsi="Calibri"/>
        </w:rPr>
        <w:t>Blokkeer analyse, advertenties en niet-noodzakelijke embeds vóór toestemming.</w:t>
      </w:r>
    </w:p>
    <w:p>
      <w:pPr>
        <w:pStyle w:val="ListBullet"/>
        <w:spacing w:after="80"/>
        <w:ind w:left="720" w:hanging="360"/>
      </w:pPr>
      <w:r>
        <w:rPr>
          <w:rFonts w:ascii="Calibri" w:hAnsi="Calibri"/>
        </w:rPr>
        <w:t>Toon gelijkwaardige Accepteren- en Weigerenknoppen; geen vooraf aangevinkte categorieën.</w:t>
      </w:r>
    </w:p>
    <w:p>
      <w:pPr>
        <w:pStyle w:val="ListBullet"/>
        <w:spacing w:after="80"/>
        <w:ind w:left="720" w:hanging="360"/>
      </w:pPr>
      <w:r>
        <w:rPr>
          <w:rFonts w:ascii="Calibri" w:hAnsi="Calibri"/>
        </w:rPr>
        <w:t>Geef toestemmingsstatus door aan Tag Manager en iedere client- en server-side conversiekoppeling.</w:t>
      </w:r>
    </w:p>
    <w:p>
      <w:pPr>
        <w:pStyle w:val="ListBullet"/>
        <w:spacing w:after="80"/>
        <w:ind w:left="720" w:hanging="360"/>
      </w:pPr>
      <w:r>
        <w:rPr>
          <w:rFonts w:ascii="Calibri" w:hAnsi="Calibri"/>
        </w:rPr>
        <w:t>Publiceer exacte provider, doel, cookie/eventnaam en retentie in het voorkeurencentrum.</w:t>
      </w:r>
    </w:p>
    <w:p>
      <w:pPr>
        <w:pStyle w:val="ListBullet"/>
        <w:spacing w:after="80"/>
        <w:ind w:left="720" w:hanging="360"/>
      </w:pPr>
      <w:r>
        <w:rPr>
          <w:rFonts w:ascii="Calibri" w:hAnsi="Calibri"/>
        </w:rPr>
        <w:t>Hertest na iedere marketing- of website-release en minimaal per kwartaal.</w:t>
      </w:r>
    </w:p>
    <w:p>
      <w:pPr>
        <w:pStyle w:val="Heading1"/>
        <w:keepNext/>
      </w:pPr>
      <w:r>
        <w:t>8. Feiten vóór publicatie controleren</w:t>
      </w:r>
    </w:p>
    <w:tbl>
      <w:tblPr>
        <w:tblStyle w:val="TableGrid"/>
        <w:tblW w:type="dxa" w:w="9411"/>
        <w:jc w:val="left"/>
        <w:tblLayout w:type="fixed"/>
        <w:tblLook w:firstColumn="1" w:firstRow="1" w:lastColumn="0" w:lastRow="0" w:noHBand="0" w:noVBand="1" w:val="04A0"/>
        <w:tblInd w:w="120" w:type="dxa"/>
      </w:tblPr>
      <w:tblGrid>
        <w:gridCol w:w="1900"/>
        <w:gridCol w:w="5000"/>
        <w:gridCol w:w="2511"/>
      </w:tblGrid>
      <w:tr>
        <w:trPr>
          <w:tblHeader w:val="true"/>
          <w:cantSplit/>
        </w:trPr>
        <w:tc>
          <w:tcPr>
            <w:tcW w:type="dxa" w:w="1900"/>
            <w:shd w:fill="17324D"/>
            <w:tcMar>
              <w:top w:w="90" w:type="dxa"/>
              <w:start w:w="120" w:type="dxa"/>
              <w:bottom w:w="90" w:type="dxa"/>
              <w:end w:w="120" w:type="dxa"/>
            </w:tcMar>
            <w:vAlign w:val="center"/>
          </w:tcPr>
          <w:p>
            <w:pPr>
              <w:spacing w:after="0"/>
            </w:pPr>
            <w:r>
              <w:rPr>
                <w:rFonts w:ascii="Calibri" w:hAnsi="Calibri"/>
                <w:b/>
                <w:color w:val="FFFFFF"/>
                <w:sz w:val="16"/>
              </w:rPr>
              <w:t>Onderdeel</w:t>
            </w:r>
          </w:p>
        </w:tc>
        <w:tc>
          <w:tcPr>
            <w:tcW w:type="dxa" w:w="5000"/>
            <w:shd w:fill="17324D"/>
            <w:tcMar>
              <w:top w:w="90" w:type="dxa"/>
              <w:start w:w="120" w:type="dxa"/>
              <w:bottom w:w="90" w:type="dxa"/>
              <w:end w:w="120" w:type="dxa"/>
            </w:tcMar>
            <w:vAlign w:val="center"/>
          </w:tcPr>
          <w:p>
            <w:pPr>
              <w:spacing w:after="0"/>
            </w:pPr>
            <w:r>
              <w:rPr>
                <w:rFonts w:ascii="Calibri" w:hAnsi="Calibri"/>
                <w:b/>
                <w:color w:val="FFFFFF"/>
                <w:sz w:val="16"/>
              </w:rPr>
              <w:t>Vereiste actie</w:t>
            </w:r>
          </w:p>
        </w:tc>
        <w:tc>
          <w:tcPr>
            <w:tcW w:type="dxa" w:w="2511"/>
            <w:shd w:fill="17324D"/>
            <w:tcMar>
              <w:top w:w="90" w:type="dxa"/>
              <w:start w:w="120" w:type="dxa"/>
              <w:bottom w:w="90" w:type="dxa"/>
              <w:end w:w="120" w:type="dxa"/>
            </w:tcMar>
            <w:vAlign w:val="center"/>
          </w:tcPr>
          <w:p>
            <w:pPr>
              <w:spacing w:after="0"/>
            </w:pPr>
            <w:r>
              <w:rPr>
                <w:rFonts w:ascii="Calibri" w:hAnsi="Calibri"/>
                <w:b/>
                <w:color w:val="FFFFFF"/>
                <w:sz w:val="16"/>
              </w:rPr>
              <w:t>Eigenaar/status</w:t>
            </w:r>
          </w:p>
        </w:tc>
      </w:tr>
      <w:tr>
        <w:trPr>
          <w:cantSplit/>
        </w:trPr>
        <w:tc>
          <w:tcPr>
            <w:tcW w:type="dxa" w:w="1900"/>
            <w:tcMar>
              <w:top w:w="90" w:type="dxa"/>
              <w:start w:w="120" w:type="dxa"/>
              <w:bottom w:w="90" w:type="dxa"/>
              <w:end w:w="120" w:type="dxa"/>
            </w:tcMar>
            <w:vAlign w:val="center"/>
          </w:tcPr>
          <w:p>
            <w:pPr>
              <w:spacing w:after="0"/>
            </w:pPr>
            <w:r>
              <w:rPr>
                <w:rFonts w:ascii="Calibri" w:hAnsi="Calibri"/>
                <w:b w:val="0"/>
                <w:color w:val="111827"/>
                <w:sz w:val="16"/>
              </w:rPr>
              <w:t>VAT/GST identifiers</w:t>
            </w:r>
          </w:p>
        </w:tc>
        <w:tc>
          <w:tcPr>
            <w:tcW w:type="dxa" w:w="5000"/>
            <w:tcMar>
              <w:top w:w="90" w:type="dxa"/>
              <w:start w:w="120" w:type="dxa"/>
              <w:bottom w:w="90" w:type="dxa"/>
              <w:end w:w="120" w:type="dxa"/>
            </w:tcMar>
            <w:vAlign w:val="center"/>
          </w:tcPr>
          <w:p>
            <w:pPr>
              <w:spacing w:after="0"/>
            </w:pPr>
            <w:r>
              <w:rPr>
                <w:rFonts w:ascii="Calibri" w:hAnsi="Calibri"/>
                <w:b w:val="0"/>
                <w:color w:val="111827"/>
                <w:sz w:val="16"/>
              </w:rPr>
              <w:t>Voeg werkelijke nummers per operationele entiteit toe waar websitepublicatie wettelijk vereist is</w:t>
            </w:r>
          </w:p>
        </w:tc>
        <w:tc>
          <w:tcPr>
            <w:tcW w:type="dxa" w:w="2511"/>
            <w:tcMar>
              <w:top w:w="90" w:type="dxa"/>
              <w:start w:w="120" w:type="dxa"/>
              <w:bottom w:w="90" w:type="dxa"/>
              <w:end w:w="120" w:type="dxa"/>
            </w:tcMar>
            <w:vAlign w:val="center"/>
          </w:tcPr>
          <w:p>
            <w:pPr>
              <w:spacing w:after="0"/>
            </w:pPr>
            <w:r>
              <w:rPr>
                <w:rFonts w:ascii="Calibri" w:hAnsi="Calibri"/>
                <w:b w:val="0"/>
                <w:color w:val="111827"/>
                <w:sz w:val="16"/>
              </w:rPr>
              <w:t>Financiën/juridisch</w:t>
            </w:r>
          </w:p>
        </w:tc>
      </w:tr>
      <w:tr>
        <w:trPr>
          <w:cantSplit/>
        </w:trPr>
        <w:tc>
          <w:tcPr>
            <w:tcW w:type="dxa" w:w="1900"/>
            <w:tcMar>
              <w:top w:w="90" w:type="dxa"/>
              <w:start w:w="120" w:type="dxa"/>
              <w:bottom w:w="90" w:type="dxa"/>
              <w:end w:w="120" w:type="dxa"/>
            </w:tcMar>
            <w:vAlign w:val="center"/>
          </w:tcPr>
          <w:p>
            <w:pPr>
              <w:spacing w:after="0"/>
            </w:pPr>
            <w:r>
              <w:rPr>
                <w:rFonts w:ascii="Calibri" w:hAnsi="Calibri"/>
                <w:b w:val="0"/>
                <w:color w:val="111827"/>
                <w:sz w:val="16"/>
              </w:rPr>
              <w:t>Cookie inventory</w:t>
            </w:r>
          </w:p>
        </w:tc>
        <w:tc>
          <w:tcPr>
            <w:tcW w:type="dxa" w:w="5000"/>
            <w:tcMar>
              <w:top w:w="90" w:type="dxa"/>
              <w:start w:w="120" w:type="dxa"/>
              <w:bottom w:w="90" w:type="dxa"/>
              <w:end w:w="120" w:type="dxa"/>
            </w:tcMar>
            <w:vAlign w:val="center"/>
          </w:tcPr>
          <w:p>
            <w:pPr>
              <w:spacing w:after="0"/>
            </w:pPr>
            <w:r>
              <w:rPr>
                <w:rFonts w:ascii="Calibri" w:hAnsi="Calibri"/>
                <w:b w:val="0"/>
                <w:color w:val="111827"/>
                <w:sz w:val="16"/>
              </w:rPr>
              <w:t>Vervang of vul het toegestane-tooloverzicht aan met actuele exacte inventaris</w:t>
            </w:r>
          </w:p>
        </w:tc>
        <w:tc>
          <w:tcPr>
            <w:tcW w:type="dxa" w:w="2511"/>
            <w:tcMar>
              <w:top w:w="90" w:type="dxa"/>
              <w:start w:w="120" w:type="dxa"/>
              <w:bottom w:w="90" w:type="dxa"/>
              <w:end w:w="120" w:type="dxa"/>
            </w:tcMar>
            <w:vAlign w:val="center"/>
          </w:tcPr>
          <w:p>
            <w:pPr>
              <w:spacing w:after="0"/>
            </w:pPr>
            <w:r>
              <w:rPr>
                <w:rFonts w:ascii="Calibri" w:hAnsi="Calibri"/>
                <w:b w:val="0"/>
                <w:color w:val="111827"/>
                <w:sz w:val="16"/>
              </w:rPr>
              <w:t>ICT/marketing</w:t>
            </w:r>
          </w:p>
        </w:tc>
      </w:tr>
      <w:tr>
        <w:trPr>
          <w:cantSplit/>
        </w:trPr>
        <w:tc>
          <w:tcPr>
            <w:tcW w:type="dxa" w:w="1900"/>
            <w:tcMar>
              <w:top w:w="90" w:type="dxa"/>
              <w:start w:w="120" w:type="dxa"/>
              <w:bottom w:w="90" w:type="dxa"/>
              <w:end w:w="120" w:type="dxa"/>
            </w:tcMar>
            <w:vAlign w:val="center"/>
          </w:tcPr>
          <w:p>
            <w:pPr>
              <w:spacing w:after="0"/>
            </w:pPr>
            <w:r>
              <w:rPr>
                <w:rFonts w:ascii="Calibri" w:hAnsi="Calibri"/>
                <w:b w:val="0"/>
                <w:color w:val="111827"/>
                <w:sz w:val="16"/>
              </w:rPr>
              <w:t>Insurance cap</w:t>
            </w:r>
          </w:p>
        </w:tc>
        <w:tc>
          <w:tcPr>
            <w:tcW w:type="dxa" w:w="5000"/>
            <w:tcMar>
              <w:top w:w="90" w:type="dxa"/>
              <w:start w:w="120" w:type="dxa"/>
              <w:bottom w:w="90" w:type="dxa"/>
              <w:end w:w="120" w:type="dxa"/>
            </w:tcMar>
            <w:vAlign w:val="center"/>
          </w:tcPr>
          <w:p>
            <w:pPr>
              <w:spacing w:after="0"/>
            </w:pPr>
            <w:r>
              <w:rPr>
                <w:rFonts w:ascii="Calibri" w:hAnsi="Calibri"/>
                <w:b w:val="0"/>
                <w:color w:val="111827"/>
                <w:sz w:val="16"/>
              </w:rPr>
              <w:t>Controleer of aansprakelijkheidslimiet past bij verzekering en risicobereidheid</w:t>
            </w:r>
          </w:p>
        </w:tc>
        <w:tc>
          <w:tcPr>
            <w:tcW w:type="dxa" w:w="2511"/>
            <w:tcMar>
              <w:top w:w="90" w:type="dxa"/>
              <w:start w:w="120" w:type="dxa"/>
              <w:bottom w:w="90" w:type="dxa"/>
              <w:end w:w="120" w:type="dxa"/>
            </w:tcMar>
            <w:vAlign w:val="center"/>
          </w:tcPr>
          <w:p>
            <w:pPr>
              <w:spacing w:after="0"/>
            </w:pPr>
            <w:r>
              <w:rPr>
                <w:rFonts w:ascii="Calibri" w:hAnsi="Calibri"/>
                <w:b w:val="0"/>
                <w:color w:val="111827"/>
                <w:sz w:val="16"/>
              </w:rPr>
              <w:t>Directie/verzekeraar</w:t>
            </w:r>
          </w:p>
        </w:tc>
      </w:tr>
      <w:tr>
        <w:trPr>
          <w:cantSplit/>
        </w:trPr>
        <w:tc>
          <w:tcPr>
            <w:tcW w:type="dxa" w:w="1900"/>
            <w:tcMar>
              <w:top w:w="90" w:type="dxa"/>
              <w:start w:w="120" w:type="dxa"/>
              <w:bottom w:w="90" w:type="dxa"/>
              <w:end w:w="120" w:type="dxa"/>
            </w:tcMar>
            <w:vAlign w:val="center"/>
          </w:tcPr>
          <w:p>
            <w:pPr>
              <w:spacing w:after="0"/>
            </w:pPr>
            <w:r>
              <w:rPr>
                <w:rFonts w:ascii="Calibri" w:hAnsi="Calibri"/>
                <w:b w:val="0"/>
                <w:color w:val="111827"/>
                <w:sz w:val="16"/>
              </w:rPr>
              <w:t>India safeguards</w:t>
            </w:r>
          </w:p>
        </w:tc>
        <w:tc>
          <w:tcPr>
            <w:tcW w:type="dxa" w:w="5000"/>
            <w:tcMar>
              <w:top w:w="90" w:type="dxa"/>
              <w:start w:w="120" w:type="dxa"/>
              <w:bottom w:w="90" w:type="dxa"/>
              <w:end w:w="120" w:type="dxa"/>
            </w:tcMar>
            <w:vAlign w:val="center"/>
          </w:tcPr>
          <w:p>
            <w:pPr>
              <w:spacing w:after="0"/>
            </w:pPr>
            <w:r>
              <w:rPr>
                <w:rFonts w:ascii="Calibri" w:hAnsi="Calibri"/>
                <w:b w:val="0"/>
                <w:color w:val="111827"/>
                <w:sz w:val="16"/>
              </w:rPr>
              <w:t>Geen productiedatatoegang vóór toestemming, SCC/doorgiftebeoordeling en toegangscontrole</w:t>
            </w:r>
          </w:p>
        </w:tc>
        <w:tc>
          <w:tcPr>
            <w:tcW w:type="dxa" w:w="2511"/>
            <w:tcMar>
              <w:top w:w="90" w:type="dxa"/>
              <w:start w:w="120" w:type="dxa"/>
              <w:bottom w:w="90" w:type="dxa"/>
              <w:end w:w="120" w:type="dxa"/>
            </w:tcMar>
            <w:vAlign w:val="center"/>
          </w:tcPr>
          <w:p>
            <w:pPr>
              <w:spacing w:after="0"/>
            </w:pPr>
            <w:r>
              <w:rPr>
                <w:rFonts w:ascii="Calibri" w:hAnsi="Calibri"/>
                <w:b w:val="0"/>
                <w:color w:val="111827"/>
                <w:sz w:val="16"/>
              </w:rPr>
              <w:t>Privacy/ICT</w:t>
            </w:r>
          </w:p>
        </w:tc>
      </w:tr>
      <w:tr>
        <w:trPr>
          <w:cantSplit/>
        </w:trPr>
        <w:tc>
          <w:tcPr>
            <w:tcW w:type="dxa" w:w="1900"/>
            <w:tcMar>
              <w:top w:w="90" w:type="dxa"/>
              <w:start w:w="120" w:type="dxa"/>
              <w:bottom w:w="90" w:type="dxa"/>
              <w:end w:w="120" w:type="dxa"/>
            </w:tcMar>
            <w:vAlign w:val="center"/>
          </w:tcPr>
          <w:p>
            <w:pPr>
              <w:spacing w:after="0"/>
            </w:pPr>
            <w:r>
              <w:rPr>
                <w:rFonts w:ascii="Calibri" w:hAnsi="Calibri"/>
                <w:b w:val="0"/>
                <w:color w:val="111827"/>
                <w:sz w:val="16"/>
              </w:rPr>
              <w:t>AI features</w:t>
            </w:r>
          </w:p>
        </w:tc>
        <w:tc>
          <w:tcPr>
            <w:tcW w:type="dxa" w:w="5000"/>
            <w:tcMar>
              <w:top w:w="90" w:type="dxa"/>
              <w:start w:w="120" w:type="dxa"/>
              <w:bottom w:w="90" w:type="dxa"/>
              <w:end w:w="120" w:type="dxa"/>
            </w:tcMar>
            <w:vAlign w:val="center"/>
          </w:tcPr>
          <w:p>
            <w:pPr>
              <w:spacing w:after="0"/>
            </w:pPr>
            <w:r>
              <w:rPr>
                <w:rFonts w:ascii="Calibri" w:hAnsi="Calibri"/>
                <w:b w:val="0"/>
                <w:color w:val="111827"/>
                <w:sz w:val="16"/>
              </w:rPr>
              <w:t>Classificeer rol en risico, meld AI-interactie en test artikel 50-transparantie waar nodig</w:t>
            </w:r>
          </w:p>
        </w:tc>
        <w:tc>
          <w:tcPr>
            <w:tcW w:type="dxa" w:w="2511"/>
            <w:tcMar>
              <w:top w:w="90" w:type="dxa"/>
              <w:start w:w="120" w:type="dxa"/>
              <w:bottom w:w="90" w:type="dxa"/>
              <w:end w:w="120" w:type="dxa"/>
            </w:tcMar>
            <w:vAlign w:val="center"/>
          </w:tcPr>
          <w:p>
            <w:pPr>
              <w:spacing w:after="0"/>
            </w:pPr>
            <w:r>
              <w:rPr>
                <w:rFonts w:ascii="Calibri" w:hAnsi="Calibri"/>
                <w:b w:val="0"/>
                <w:color w:val="111827"/>
                <w:sz w:val="16"/>
              </w:rPr>
              <w:t>Product/privacy</w:t>
            </w:r>
          </w:p>
        </w:tc>
      </w:tr>
    </w:tbl>
    <w:p>
      <w:pPr>
        <w:spacing w:after="0"/>
      </w:pPr>
    </w:p>
    <w:p>
      <w:pPr>
        <w:pStyle w:val="Heading1"/>
        <w:keepNext/>
      </w:pPr>
      <w:r>
        <w:t>9. Versiebeheer</w:t>
      </w:r>
    </w:p>
    <w:p>
      <w:pPr>
        <w:pStyle w:val="ListBullet"/>
        <w:spacing w:after="80"/>
        <w:ind w:left="720" w:hanging="360"/>
      </w:pPr>
      <w:r>
        <w:rPr>
          <w:rFonts w:ascii="Calibri" w:hAnsi="Calibri"/>
        </w:rPr>
        <w:t>Beheer één centrale juridische pagina met titel, taal, versie, datum en downloadbaar bestand.</w:t>
      </w:r>
    </w:p>
    <w:p>
      <w:pPr>
        <w:pStyle w:val="ListBullet"/>
        <w:spacing w:after="80"/>
        <w:ind w:left="720" w:hanging="360"/>
      </w:pPr>
      <w:r>
        <w:rPr>
          <w:rFonts w:ascii="Calibri" w:hAnsi="Calibri"/>
        </w:rPr>
        <w:t>Bewaar oude versies en bewijs van de bestanden die bij iedere offerte zijn verstrekt.</w:t>
      </w:r>
    </w:p>
    <w:p>
      <w:pPr>
        <w:pStyle w:val="ListBullet"/>
        <w:spacing w:after="80"/>
        <w:ind w:left="720" w:hanging="360"/>
      </w:pPr>
      <w:r>
        <w:rPr>
          <w:rFonts w:ascii="Calibri" w:hAnsi="Calibri"/>
        </w:rPr>
        <w:t>Vervang contractbestanden niet stilzwijgend. Meld materiële wijzigingen volgens de toepasselijke clausule en vraag instemming waar nodig.</w:t>
      </w:r>
    </w:p>
    <w:p>
      <w:pPr>
        <w:pStyle w:val="ListBullet"/>
        <w:spacing w:after="80"/>
        <w:ind w:left="720" w:hanging="360"/>
      </w:pPr>
      <w:r>
        <w:rPr>
          <w:rFonts w:ascii="Calibri" w:hAnsi="Calibri"/>
        </w:rPr>
        <w:t>Beoordeel minimaal jaarlijks en na nieuwe entiteit, domein, verwerker, land, AI-functie, wezenlijk incident of wetswijziging.</w:t>
      </w:r>
    </w:p>
    <w:sectPr w:rsidR="00FC693F" w:rsidRPr="0006063C" w:rsidSect="00034616">
      <w:headerReference w:type="default" r:id="rId9"/>
      <w:footerReference w:type="default" r:id="rId10"/>
      <w:headerReference w:type="even" r:id="rId11"/>
      <w:footerReference w:type="even" r:id="rId12"/>
      <w:pgSz w:w="11906" w:h="16838"/>
      <w:pgMar w:top="1247" w:right="1247" w:bottom="124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Implementatiehandleiding Juridische Documenten Brightness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Implementatiehandleiding Juridische Documenten Brightness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INTERN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INTERN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B8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Implementatiehandleiding Juridische Documenten Brightness</dc:title>
  <dc:subject>Brightness legal and privacy documentation</dc:subject>
  <dc:creator>Brightness</dc:creator>
  <cp:keywords>Brightness, legal, privacy, GDPR, SaaS, software</cp:keywords>
  <dc:description>Controlled model v3.0</dc:description>
  <cp:lastModifiedBy>Brightness</cp:lastModifiedBy>
  <cp:revision>1</cp:revision>
  <dcterms:created xsi:type="dcterms:W3CDTF">2013-12-23T23:15:00Z</dcterms:created>
  <dcterms:modified xsi:type="dcterms:W3CDTF">2013-12-23T23:15:00Z</dcterms:modified>
  <cp:category/>
</cp:coreProperties>
</file>