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60"/>
      </w:pPr>
      <w:r>
        <w:rPr>
          <w:rFonts w:ascii="Calibri" w:hAnsi="Calibri"/>
          <w:b/>
          <w:color w:val="00A6C8"/>
          <w:sz w:val="18"/>
        </w:rPr>
        <w:t>ARTIKEL 28 AVG</w:t>
      </w:r>
    </w:p>
    <w:p>
      <w:pPr>
        <w:spacing w:after="100"/>
      </w:pPr>
      <w:r>
        <w:rPr>
          <w:rFonts w:ascii="Calibri" w:hAnsi="Calibri"/>
          <w:b/>
          <w:color w:val="17324D"/>
          <w:sz w:val="50"/>
        </w:rPr>
        <w:t>Verwerkersovereenkomst Brightness</w:t>
      </w:r>
    </w:p>
    <w:p>
      <w:pPr>
        <w:spacing w:after="320"/>
      </w:pPr>
      <w:r>
        <w:rPr>
          <w:rFonts w:ascii="Calibri" w:hAnsi="Calibri"/>
          <w:color w:val="4B5563"/>
          <w:sz w:val="25"/>
        </w:rPr>
        <w:t>Universele overeenkomst voor SaaS, hosting, websites, applicaties, support en softwareontwikkeling</w:t>
      </w:r>
    </w:p>
    <w:tbl>
      <w:tblPr>
        <w:tblStyle w:val="TableGrid"/>
        <w:tblW w:type="dxa" w:w="9411"/>
        <w:jc w:val="left"/>
        <w:tblLayout w:type="fixed"/>
        <w:tblLook w:firstColumn="1" w:firstRow="1" w:lastColumn="0" w:lastRow="0" w:noHBand="0" w:noVBand="1" w:val="04A0"/>
        <w:tblInd w:w="120" w:type="dxa"/>
      </w:tblPr>
      <w:tblGrid>
        <w:gridCol w:w="2100"/>
        <w:gridCol w:w="7311"/>
      </w:tblGrid>
      <w:tr>
        <w:tc>
          <w:tcPr>
            <w:tcW w:type="dxa" w:w="2100"/>
            <w:shd w:fill="EAF4F7"/>
            <w:tcMar>
              <w:top w:w="90" w:type="dxa"/>
              <w:start w:w="120" w:type="dxa"/>
              <w:bottom w:w="90" w:type="dxa"/>
              <w:end w:w="120" w:type="dxa"/>
            </w:tcMar>
            <w:vAlign w:val="center"/>
          </w:tcPr>
          <w:p>
            <w:pPr>
              <w:spacing w:after="0"/>
            </w:pPr>
            <w:r>
              <w:rPr>
                <w:rFonts w:ascii="Calibri" w:hAnsi="Calibri"/>
                <w:b/>
                <w:color w:val="17324D"/>
                <w:sz w:val="19"/>
              </w:rPr>
              <w:t>Versie</w:t>
            </w:r>
          </w:p>
        </w:tc>
        <w:tc>
          <w:tcPr>
            <w:tcW w:type="dxa" w:w="7311"/>
            <w:tcMar>
              <w:top w:w="90" w:type="dxa"/>
              <w:start w:w="120" w:type="dxa"/>
              <w:bottom w:w="90" w:type="dxa"/>
              <w:end w:w="120" w:type="dxa"/>
            </w:tcMar>
            <w:vAlign w:val="center"/>
          </w:tcPr>
          <w:p>
            <w:pPr>
              <w:spacing w:after="0"/>
            </w:pPr>
            <w:r>
              <w:rPr>
                <w:rFonts w:ascii="Calibri" w:hAnsi="Calibri"/>
                <w:color w:val="111827"/>
                <w:sz w:val="19"/>
              </w:rPr>
              <w:t>2.0</w:t>
            </w:r>
          </w:p>
        </w:tc>
      </w:tr>
      <w:tr>
        <w:tc>
          <w:tcPr>
            <w:tcW w:type="dxa" w:w="2100"/>
            <w:shd w:fill="EAF4F7"/>
            <w:tcMar>
              <w:top w:w="90" w:type="dxa"/>
              <w:start w:w="120" w:type="dxa"/>
              <w:bottom w:w="90" w:type="dxa"/>
              <w:end w:w="120" w:type="dxa"/>
            </w:tcMar>
            <w:vAlign w:val="center"/>
          </w:tcPr>
          <w:p>
            <w:pPr>
              <w:spacing w:after="0"/>
            </w:pPr>
            <w:r>
              <w:rPr>
                <w:rFonts w:ascii="Calibri" w:hAnsi="Calibri"/>
                <w:b/>
                <w:color w:val="17324D"/>
                <w:sz w:val="19"/>
              </w:rPr>
              <w:t>Datum</w:t>
            </w:r>
          </w:p>
        </w:tc>
        <w:tc>
          <w:tcPr>
            <w:tcW w:type="dxa" w:w="7311"/>
            <w:tcMar>
              <w:top w:w="90" w:type="dxa"/>
              <w:start w:w="120" w:type="dxa"/>
              <w:bottom w:w="90" w:type="dxa"/>
              <w:end w:w="120" w:type="dxa"/>
            </w:tcMar>
            <w:vAlign w:val="center"/>
          </w:tcPr>
          <w:p>
            <w:pPr>
              <w:spacing w:after="0"/>
            </w:pPr>
            <w:r>
              <w:rPr>
                <w:rFonts w:ascii="Calibri" w:hAnsi="Calibri"/>
                <w:color w:val="111827"/>
                <w:sz w:val="19"/>
              </w:rPr>
              <w:t>26 augustus 2026</w:t>
            </w:r>
          </w:p>
        </w:tc>
      </w:tr>
      <w:tr>
        <w:tc>
          <w:tcPr>
            <w:tcW w:type="dxa" w:w="2100"/>
            <w:shd w:fill="EAF4F7"/>
            <w:tcMar>
              <w:top w:w="90" w:type="dxa"/>
              <w:start w:w="120" w:type="dxa"/>
              <w:bottom w:w="90" w:type="dxa"/>
              <w:end w:w="120" w:type="dxa"/>
            </w:tcMar>
            <w:vAlign w:val="center"/>
          </w:tcPr>
          <w:p>
            <w:pPr>
              <w:spacing w:after="0"/>
            </w:pPr>
            <w:r>
              <w:rPr>
                <w:rFonts w:ascii="Calibri" w:hAnsi="Calibri"/>
                <w:b/>
                <w:color w:val="17324D"/>
                <w:sz w:val="19"/>
              </w:rPr>
              <w:t>Contact</w:t>
            </w:r>
          </w:p>
        </w:tc>
        <w:tc>
          <w:tcPr>
            <w:tcW w:type="dxa" w:w="7311"/>
            <w:tcMar>
              <w:top w:w="90" w:type="dxa"/>
              <w:start w:w="120" w:type="dxa"/>
              <w:bottom w:w="90" w:type="dxa"/>
              <w:end w:w="120" w:type="dxa"/>
            </w:tcMar>
            <w:vAlign w:val="center"/>
          </w:tcPr>
          <w:p>
            <w:pPr>
              <w:spacing w:after="0"/>
            </w:pPr>
            <w:r>
              <w:rPr>
                <w:rFonts w:ascii="Calibri" w:hAnsi="Calibri"/>
                <w:color w:val="111827"/>
                <w:sz w:val="19"/>
              </w:rPr>
              <w:t>support@brightness-group.com | +31 23 557 4211</w:t>
            </w:r>
          </w:p>
        </w:tc>
      </w:tr>
      <w:tr>
        <w:tc>
          <w:tcPr>
            <w:tcW w:type="dxa" w:w="2100"/>
            <w:shd w:fill="EAF4F7"/>
            <w:tcMar>
              <w:top w:w="90" w:type="dxa"/>
              <w:start w:w="120" w:type="dxa"/>
              <w:bottom w:w="90" w:type="dxa"/>
              <w:end w:w="120" w:type="dxa"/>
            </w:tcMar>
            <w:vAlign w:val="center"/>
          </w:tcPr>
          <w:p>
            <w:pPr>
              <w:spacing w:after="0"/>
            </w:pPr>
            <w:r>
              <w:rPr>
                <w:rFonts w:ascii="Calibri" w:hAnsi="Calibri"/>
                <w:b/>
                <w:color w:val="17324D"/>
                <w:sz w:val="19"/>
              </w:rPr>
              <w:t>Status</w:t>
            </w:r>
          </w:p>
        </w:tc>
        <w:tc>
          <w:tcPr>
            <w:tcW w:type="dxa" w:w="7311"/>
            <w:tcMar>
              <w:top w:w="90" w:type="dxa"/>
              <w:start w:w="120" w:type="dxa"/>
              <w:bottom w:w="90" w:type="dxa"/>
              <w:end w:w="120" w:type="dxa"/>
            </w:tcMar>
            <w:vAlign w:val="center"/>
          </w:tcPr>
          <w:p>
            <w:pPr>
              <w:spacing w:after="0"/>
            </w:pPr>
            <w:r>
              <w:rPr>
                <w:rFonts w:ascii="Calibri" w:hAnsi="Calibri"/>
                <w:color w:val="111827"/>
                <w:sz w:val="19"/>
              </w:rPr>
              <w:t>Universeel model - klant- en opdrachtgegevens via offerte of verwerkingsbijlage</w:t>
            </w:r>
          </w:p>
        </w:tc>
      </w:tr>
      <w:tr>
        <w:tc>
          <w:tcPr>
            <w:tcW w:type="dxa" w:w="2100"/>
            <w:shd w:fill="EAF4F7"/>
            <w:tcMar>
              <w:top w:w="90" w:type="dxa"/>
              <w:start w:w="120" w:type="dxa"/>
              <w:bottom w:w="90" w:type="dxa"/>
              <w:end w:w="120" w:type="dxa"/>
            </w:tcMar>
            <w:vAlign w:val="center"/>
          </w:tcPr>
          <w:p>
            <w:pPr>
              <w:spacing w:after="0"/>
            </w:pPr>
            <w:r>
              <w:rPr>
                <w:rFonts w:ascii="Calibri" w:hAnsi="Calibri"/>
                <w:b/>
                <w:color w:val="17324D"/>
                <w:sz w:val="19"/>
              </w:rPr>
              <w:t>Toepassing</w:t>
            </w:r>
          </w:p>
        </w:tc>
        <w:tc>
          <w:tcPr>
            <w:tcW w:type="dxa" w:w="7311"/>
            <w:tcMar>
              <w:top w:w="90" w:type="dxa"/>
              <w:start w:w="120" w:type="dxa"/>
              <w:bottom w:w="90" w:type="dxa"/>
              <w:end w:w="120" w:type="dxa"/>
            </w:tcMar>
            <w:vAlign w:val="center"/>
          </w:tcPr>
          <w:p>
            <w:pPr>
              <w:spacing w:after="0"/>
            </w:pPr>
            <w:r>
              <w:rPr>
                <w:rFonts w:ascii="Calibri" w:hAnsi="Calibri"/>
                <w:color w:val="111827"/>
                <w:sz w:val="19"/>
              </w:rPr>
              <w:t>Alleen de in de offerte of verwerkingsbijlage aangewezen Brightness-entiteit(en)</w:t>
            </w:r>
          </w:p>
        </w:tc>
      </w:tr>
    </w:tbl>
    <w:p>
      <w:pPr>
        <w:spacing w:after="0"/>
      </w:pPr>
    </w:p>
    <w:tbl>
      <w:tblPr>
        <w:tblStyle w:val="TableGrid"/>
        <w:tblW w:type="dxa" w:w="9411"/>
        <w:jc w:val="left"/>
        <w:tblLayout w:type="fixed"/>
        <w:tblLook w:firstColumn="1" w:firstRow="1" w:lastColumn="0" w:lastRow="0" w:noHBand="0" w:noVBand="1" w:val="04A0"/>
        <w:tblInd w:w="120" w:type="dxa"/>
      </w:tblPr>
      <w:tblGrid>
        <w:gridCol w:w="9411"/>
      </w:tblGrid>
      <w:tr>
        <w:tc>
          <w:tcPr>
            <w:tcW w:type="dxa" w:w="9411"/>
            <w:tcMar>
              <w:top w:w="90" w:type="dxa"/>
              <w:start w:w="120" w:type="dxa"/>
              <w:bottom w:w="90" w:type="dxa"/>
              <w:end w:w="120" w:type="dxa"/>
            </w:tcMar>
            <w:vAlign w:val="center"/>
            <w:shd w:fill="EAF4F7"/>
          </w:tcPr>
          <w:p>
            <w:pPr>
              <w:spacing w:after="0"/>
            </w:pPr>
            <w:r>
              <w:rPr>
                <w:rFonts w:ascii="Calibri" w:hAnsi="Calibri"/>
                <w:b/>
                <w:color w:val="17324D"/>
                <w:sz w:val="19"/>
              </w:rPr>
              <w:t xml:space="preserve">Kern: </w:t>
            </w:r>
            <w:r>
              <w:rPr>
                <w:rFonts w:ascii="Calibri" w:hAnsi="Calibri"/>
                <w:color w:val="111827"/>
                <w:sz w:val="19"/>
              </w:rPr>
              <w:t>De Klant bepaalt doel en gebruik van de persoonsgegevens. Iedere aangewezen Brightness-entiteit verwerkt uitsluitend binnen haar eigen opdracht en scope. Andere groepsmaatschappijen zijn geen partij, tenzij zij uitdrukkelijk zijn aangewezen.</w:t>
            </w:r>
          </w:p>
        </w:tc>
      </w:tr>
    </w:tbl>
    <w:p>
      <w:pPr>
        <w:spacing w:after="0"/>
      </w:pPr>
    </w:p>
    <w:p>
      <w:pPr>
        <w:pStyle w:val="Heading1"/>
        <w:keepNext/>
      </w:pPr>
      <w:r>
        <w:t>Artikel 1 - Partijen en definities</w:t>
      </w:r>
    </w:p>
    <w:p>
      <w:pPr>
        <w:spacing w:after="120" w:line="264" w:lineRule="auto"/>
        <w:ind w:left="0" w:firstLine="0"/>
      </w:pPr>
      <w:r>
        <w:rPr>
          <w:rFonts w:ascii="Calibri" w:hAnsi="Calibri"/>
          <w:b/>
          <w:color w:val="17324D"/>
        </w:rPr>
        <w:t xml:space="preserve">1.1  </w:t>
      </w:r>
      <w:r>
        <w:rPr>
          <w:rFonts w:ascii="Calibri" w:hAnsi="Calibri"/>
        </w:rPr>
        <w:t>De zakelijke klant of organisatie die in de Offerte, hoofdovereenkomst of Verwerkingsbijlage staat, is de verwerkingsverantwoordelijke in de zin van artikel 4 onder 7 AVG en wordt hierna aangeduid als de Klant.</w:t>
      </w:r>
    </w:p>
    <w:p>
      <w:pPr>
        <w:spacing w:after="120" w:line="264" w:lineRule="auto"/>
        <w:ind w:left="0" w:firstLine="0"/>
      </w:pPr>
      <w:r>
        <w:rPr>
          <w:rFonts w:ascii="Calibri" w:hAnsi="Calibri"/>
          <w:b/>
          <w:color w:val="17324D"/>
        </w:rPr>
        <w:t xml:space="preserve">1.2  </w:t>
      </w:r>
      <w:r>
        <w:rPr>
          <w:rFonts w:ascii="Calibri" w:hAnsi="Calibri"/>
        </w:rPr>
        <w:t>De Brightness-entiteit die in de Offerte of Verwerkingsbijlage voor een bepaalde verwerking is aangewezen, is voor die verwerking de verwerker in de zin van artikel 4 onder 8 AVG en wordt hierna aangeduid als Verwerker. Als meerdere Brightness-entiteiten rechtstreeks zijn aangewezen, geldt iedere entiteit uitsluitend als Verwerker voor haar eigen feitelijke verwerkingsscope.</w:t>
      </w:r>
    </w:p>
    <w:p>
      <w:pPr>
        <w:spacing w:after="120" w:line="264" w:lineRule="auto"/>
        <w:ind w:left="0" w:firstLine="0"/>
      </w:pPr>
      <w:r>
        <w:rPr>
          <w:rFonts w:ascii="Calibri" w:hAnsi="Calibri"/>
          <w:b/>
          <w:color w:val="17324D"/>
        </w:rPr>
        <w:t xml:space="preserve">1.3  </w:t>
      </w:r>
      <w:r>
        <w:rPr>
          <w:rFonts w:ascii="Calibri" w:hAnsi="Calibri"/>
        </w:rPr>
        <w:t>De feitelijke werkzaamheden zijn bepalend voor de AVG-rol. Een contractuele aanduiding wijzigt geen rol die volgens de AVG uit de werkelijke omstandigheden volgt.</w:t>
      </w:r>
    </w:p>
    <w:p>
      <w:pPr>
        <w:spacing w:after="120" w:line="264" w:lineRule="auto"/>
        <w:ind w:left="0" w:firstLine="0"/>
      </w:pPr>
      <w:r>
        <w:rPr>
          <w:rFonts w:ascii="Calibri" w:hAnsi="Calibri"/>
          <w:b/>
          <w:color w:val="17324D"/>
        </w:rPr>
        <w:t xml:space="preserve">1.4  </w:t>
      </w:r>
      <w:r>
        <w:rPr>
          <w:rFonts w:ascii="Calibri" w:hAnsi="Calibri"/>
        </w:rPr>
        <w:t>Klantdata betekent alle gegevens, bestanden, documenten, inhoud en persoonsgegevens die de Klant of zijn gebruikers in de Dienst invoeren, via koppelingen aanleveren of door de Verwerker in opdracht van de Klant laten verwerken.</w:t>
      </w:r>
    </w:p>
    <w:p>
      <w:pPr>
        <w:spacing w:after="120" w:line="264" w:lineRule="auto"/>
        <w:ind w:left="0" w:firstLine="0"/>
      </w:pPr>
      <w:r>
        <w:rPr>
          <w:rFonts w:ascii="Calibri" w:hAnsi="Calibri"/>
          <w:b/>
          <w:color w:val="17324D"/>
        </w:rPr>
        <w:t xml:space="preserve">1.5  </w:t>
      </w:r>
      <w:r>
        <w:rPr>
          <w:rFonts w:ascii="Calibri" w:hAnsi="Calibri"/>
        </w:rPr>
        <w:t>Offerte omvat tevens een opdrachtbevestiging of andere schriftelijke opdracht. Dienst omvat de daarin overeengekomen SaaS-, hosting-, opslag-, support-, onderhouds-, implementatie-, ontwikkelings-, test-, migratie- of integratiedienst. Subverwerker is een derde die door een Verwerker voor verwerking namens de Klant wordt ingeschakeld.</w:t>
      </w:r>
    </w:p>
    <w:p>
      <w:pPr>
        <w:spacing w:after="120" w:line="264" w:lineRule="auto"/>
        <w:ind w:left="0" w:firstLine="0"/>
      </w:pPr>
      <w:r>
        <w:rPr>
          <w:rFonts w:ascii="Calibri" w:hAnsi="Calibri"/>
          <w:b/>
          <w:color w:val="17324D"/>
        </w:rPr>
        <w:t xml:space="preserve">1.6  </w:t>
      </w:r>
      <w:r>
        <w:rPr>
          <w:rFonts w:ascii="Calibri" w:hAnsi="Calibri"/>
        </w:rPr>
        <w:t>De begrippen persoonsgegevens, verwerking, betrokkene, inbreuk in verband met persoonsgegevens, toezichthoudende autoriteit en derde land hebben de betekenis die de AVG daaraan geeft.</w:t>
      </w:r>
    </w:p>
    <w:p>
      <w:pPr>
        <w:pStyle w:val="Heading1"/>
        <w:keepNext/>
      </w:pPr>
      <w:r>
        <w:t>Artikel 2 - Contractvorming, onderwerp en duur</w:t>
      </w:r>
    </w:p>
    <w:p>
      <w:pPr>
        <w:spacing w:after="120" w:line="264" w:lineRule="auto"/>
        <w:ind w:left="0" w:firstLine="0"/>
      </w:pPr>
      <w:r>
        <w:rPr>
          <w:rFonts w:ascii="Calibri" w:hAnsi="Calibri"/>
          <w:b/>
          <w:color w:val="17324D"/>
        </w:rPr>
        <w:t xml:space="preserve">2.1  </w:t>
      </w:r>
      <w:r>
        <w:rPr>
          <w:rFonts w:ascii="Calibri" w:hAnsi="Calibri"/>
        </w:rPr>
        <w:t>Deze overeenkomst is een verwerkersovereenkomst als bedoeld in artikel 28 lid 3 AVG. Zij maakt deel uit van de hoofdovereenkomst en geldt voor de in de Offerte of Verwerkingsbijlage omschreven verwerking.</w:t>
      </w:r>
    </w:p>
    <w:p>
      <w:pPr>
        <w:spacing w:after="120" w:line="264" w:lineRule="auto"/>
        <w:ind w:left="0" w:firstLine="0"/>
      </w:pPr>
      <w:r>
        <w:rPr>
          <w:rFonts w:ascii="Calibri" w:hAnsi="Calibri"/>
          <w:b/>
          <w:color w:val="17324D"/>
        </w:rPr>
        <w:t xml:space="preserve">2.2  </w:t>
      </w:r>
      <w:r>
        <w:rPr>
          <w:rFonts w:ascii="Calibri" w:hAnsi="Calibri"/>
        </w:rPr>
        <w:t>De overeenkomst kan afzonderlijk elektronisch worden ondertekend of door een duidelijke verwijzing in een ondertekende of elektronisch aanvaarde Offerte van toepassing worden verklaard. De titel, versie en datum moeten aantoonbaar zijn.</w:t>
      </w:r>
    </w:p>
    <w:p>
      <w:pPr>
        <w:spacing w:after="120" w:line="264" w:lineRule="auto"/>
        <w:ind w:left="0" w:firstLine="0"/>
      </w:pPr>
      <w:r>
        <w:rPr>
          <w:rFonts w:ascii="Calibri" w:hAnsi="Calibri"/>
          <w:b/>
          <w:color w:val="17324D"/>
        </w:rPr>
        <w:t xml:space="preserve">2.3  </w:t>
      </w:r>
      <w:r>
        <w:rPr>
          <w:rFonts w:ascii="Calibri" w:hAnsi="Calibri"/>
        </w:rPr>
        <w:t>De verwerking duurt zolang de Verwerker persoonsgegevens namens de Klant verwerkt, inclusief de overeengekomen export-, afsluit- en verwijderperiode. Bepalingen die naar hun aard voortduren, blijven na beëindiging van kracht.</w:t>
      </w:r>
    </w:p>
    <w:p>
      <w:pPr>
        <w:spacing w:after="120" w:line="264" w:lineRule="auto"/>
        <w:ind w:left="0" w:firstLine="0"/>
      </w:pPr>
      <w:r>
        <w:rPr>
          <w:rFonts w:ascii="Calibri" w:hAnsi="Calibri"/>
          <w:b/>
          <w:color w:val="17324D"/>
        </w:rPr>
        <w:t xml:space="preserve">2.4  </w:t>
      </w:r>
      <w:r>
        <w:rPr>
          <w:rFonts w:ascii="Calibri" w:hAnsi="Calibri"/>
        </w:rPr>
        <w:t>Onderwerp, aard, doel, betrokkenen, gegevenscategorieën, locaties en eventuele aanvullende instructies staan in de Offerte of Verwerkingsbijlage. De standaardcategorieën gelden alleen voor zover zij feitelijk bij de gekozen Dienst worden gebruikt.</w:t>
      </w:r>
    </w:p>
    <w:p>
      <w:pPr>
        <w:pStyle w:val="Heading1"/>
        <w:keepNext/>
      </w:pPr>
      <w:r>
        <w:t>Artikel 3 - Gedocumenteerde instructies</w:t>
      </w:r>
    </w:p>
    <w:p>
      <w:pPr>
        <w:spacing w:after="120" w:line="264" w:lineRule="auto"/>
        <w:ind w:left="0" w:firstLine="0"/>
      </w:pPr>
      <w:r>
        <w:rPr>
          <w:rFonts w:ascii="Calibri" w:hAnsi="Calibri"/>
          <w:b/>
          <w:color w:val="17324D"/>
        </w:rPr>
        <w:t xml:space="preserve">3.1  </w:t>
      </w:r>
      <w:r>
        <w:rPr>
          <w:rFonts w:ascii="Calibri" w:hAnsi="Calibri"/>
        </w:rPr>
        <w:t>De Verwerker verwerkt persoonsgegevens uitsluitend op gedocumenteerde instructies van de Klant. De hoofdovereenkomst, Offerte, Verwerkingsbijlage, instellingen van de Dienst, door bevoegde gebruikers geactiveerde koppelingen en geautoriseerde supportverzoeken gelden als gedocumenteerde instructies.</w:t>
      </w:r>
    </w:p>
    <w:p>
      <w:pPr>
        <w:spacing w:after="120" w:line="264" w:lineRule="auto"/>
        <w:ind w:left="0" w:firstLine="0"/>
      </w:pPr>
      <w:r>
        <w:rPr>
          <w:rFonts w:ascii="Calibri" w:hAnsi="Calibri"/>
          <w:b/>
          <w:color w:val="17324D"/>
        </w:rPr>
        <w:t xml:space="preserve">3.2  </w:t>
      </w:r>
      <w:r>
        <w:rPr>
          <w:rFonts w:ascii="Calibri" w:hAnsi="Calibri"/>
        </w:rPr>
        <w:t>De Verwerker verwerkt de Klantdata niet voor verkoop, advertenties of training van algemene eigen AI-modellen. Productverbetering en statistiek mogen uitsluitend met gegevens die daadwerkelijk en onomkeerbaar zijn geanonimiseerd en geaggregeerd.</w:t>
      </w:r>
    </w:p>
    <w:p>
      <w:pPr>
        <w:spacing w:after="120" w:line="264" w:lineRule="auto"/>
        <w:ind w:left="0" w:firstLine="0"/>
      </w:pPr>
      <w:r>
        <w:rPr>
          <w:rFonts w:ascii="Calibri" w:hAnsi="Calibri"/>
          <w:b/>
          <w:color w:val="17324D"/>
        </w:rPr>
        <w:t xml:space="preserve">3.3  </w:t>
      </w:r>
      <w:r>
        <w:rPr>
          <w:rFonts w:ascii="Calibri" w:hAnsi="Calibri"/>
        </w:rPr>
        <w:t>Als Unierecht of toepasselijk lidstatelijk recht een verwerking verplicht, informeert de Verwerker de Klant vooraf, tenzij de wet die informatie om gewichtige redenen van algemeen belang verbiedt.</w:t>
      </w:r>
    </w:p>
    <w:p>
      <w:pPr>
        <w:spacing w:after="120" w:line="264" w:lineRule="auto"/>
        <w:ind w:left="0" w:firstLine="0"/>
      </w:pPr>
      <w:r>
        <w:rPr>
          <w:rFonts w:ascii="Calibri" w:hAnsi="Calibri"/>
          <w:b/>
          <w:color w:val="17324D"/>
        </w:rPr>
        <w:t xml:space="preserve">3.4  </w:t>
      </w:r>
      <w:r>
        <w:rPr>
          <w:rFonts w:ascii="Calibri" w:hAnsi="Calibri"/>
        </w:rPr>
        <w:t>Als de Verwerker meent dat een instructie inbreuk maakt op de AVG of andere toepasselijke gegevensbeschermingswetgeving, informeert zij de Klant onmiddellijk. Zij mag de betreffende uitvoering opschorten totdat de instructie is aangepast, ingetrokken of na beoordeling bevestigd.</w:t>
      </w:r>
    </w:p>
    <w:p>
      <w:pPr>
        <w:spacing w:after="120" w:line="264" w:lineRule="auto"/>
        <w:ind w:left="0" w:firstLine="0"/>
      </w:pPr>
      <w:r>
        <w:rPr>
          <w:rFonts w:ascii="Calibri" w:hAnsi="Calibri"/>
          <w:b/>
          <w:color w:val="17324D"/>
        </w:rPr>
        <w:t xml:space="preserve">3.5  </w:t>
      </w:r>
      <w:r>
        <w:rPr>
          <w:rFonts w:ascii="Calibri" w:hAnsi="Calibri"/>
        </w:rPr>
        <w:t>Bij kennelijk onrechtmatig gebruik of een onmiddellijk risico voor persoonsgegevens, systemen of andere klanten mag de Verwerker direct de strikt noodzakelijke beveiligingsmaatregel treffen. Zij informeert de Klant zo spoedig mogelijk, tenzij dit wettelijk verboden is.</w:t>
      </w:r>
    </w:p>
    <w:p>
      <w:pPr>
        <w:spacing w:after="120" w:line="264" w:lineRule="auto"/>
        <w:ind w:left="0" w:firstLine="0"/>
      </w:pPr>
      <w:r>
        <w:rPr>
          <w:rFonts w:ascii="Calibri" w:hAnsi="Calibri"/>
          <w:b/>
          <w:color w:val="17324D"/>
        </w:rPr>
        <w:t xml:space="preserve">3.6  </w:t>
      </w:r>
      <w:r>
        <w:rPr>
          <w:rFonts w:ascii="Calibri" w:hAnsi="Calibri"/>
        </w:rPr>
        <w:t>Voor zover een Verwerker buiten instructie zelfstandig doel en essentiële middelen van een verwerking bepaalt, geldt zij voor die verwerking als verwerkingsverantwoordelijke overeenkomstig artikel 28 lid 10 AVG.</w:t>
      </w:r>
    </w:p>
    <w:p>
      <w:pPr>
        <w:pStyle w:val="Heading1"/>
        <w:keepNext/>
      </w:pPr>
      <w:r>
        <w:t>Artikel 4 - Rolverdeling binnen Brightness</w:t>
      </w:r>
    </w:p>
    <w:tbl>
      <w:tblPr>
        <w:tblStyle w:val="TableGrid"/>
        <w:tblW w:type="dxa" w:w="9411"/>
        <w:jc w:val="left"/>
        <w:tblLayout w:type="fixed"/>
        <w:tblLook w:firstColumn="1" w:firstRow="1" w:lastColumn="0" w:lastRow="0" w:noHBand="0" w:noVBand="1" w:val="04A0"/>
        <w:tblInd w:w="120" w:type="dxa"/>
      </w:tblPr>
      <w:tblGrid>
        <w:gridCol w:w="2100"/>
        <w:gridCol w:w="2300"/>
        <w:gridCol w:w="1100"/>
        <w:gridCol w:w="3911"/>
      </w:tblGrid>
      <w:tr>
        <w:trPr>
          <w:tblHeader w:val="true"/>
        </w:trPr>
        <w:tc>
          <w:tcPr>
            <w:tcW w:type="dxa" w:w="2100"/>
            <w:shd w:fill="17324D"/>
            <w:tcMar>
              <w:top w:w="90" w:type="dxa"/>
              <w:start w:w="120" w:type="dxa"/>
              <w:bottom w:w="90" w:type="dxa"/>
              <w:end w:w="120" w:type="dxa"/>
            </w:tcMar>
            <w:vAlign w:val="center"/>
          </w:tcPr>
          <w:p>
            <w:pPr>
              <w:spacing w:after="0"/>
            </w:pPr>
            <w:r>
              <w:rPr>
                <w:rFonts w:ascii="Calibri" w:hAnsi="Calibri"/>
                <w:b/>
                <w:color w:val="FFFFFF"/>
                <w:sz w:val="16"/>
              </w:rPr>
              <w:t>Entiteit</w:t>
            </w:r>
          </w:p>
        </w:tc>
        <w:tc>
          <w:tcPr>
            <w:tcW w:type="dxa" w:w="2300"/>
            <w:shd w:fill="17324D"/>
            <w:tcMar>
              <w:top w:w="90" w:type="dxa"/>
              <w:start w:w="120" w:type="dxa"/>
              <w:bottom w:w="90" w:type="dxa"/>
              <w:end w:w="120" w:type="dxa"/>
            </w:tcMar>
            <w:vAlign w:val="center"/>
          </w:tcPr>
          <w:p>
            <w:pPr>
              <w:spacing w:after="0"/>
            </w:pPr>
            <w:r>
              <w:rPr>
                <w:rFonts w:ascii="Calibri" w:hAnsi="Calibri"/>
                <w:b/>
                <w:color w:val="FFFFFF"/>
                <w:sz w:val="16"/>
              </w:rPr>
              <w:t>Adres</w:t>
            </w:r>
          </w:p>
        </w:tc>
        <w:tc>
          <w:tcPr>
            <w:tcW w:type="dxa" w:w="1100"/>
            <w:shd w:fill="17324D"/>
            <w:tcMar>
              <w:top w:w="90" w:type="dxa"/>
              <w:start w:w="120" w:type="dxa"/>
              <w:bottom w:w="90" w:type="dxa"/>
              <w:end w:w="120" w:type="dxa"/>
            </w:tcMar>
            <w:vAlign w:val="center"/>
          </w:tcPr>
          <w:p>
            <w:pPr>
              <w:spacing w:after="0"/>
            </w:pPr>
            <w:r>
              <w:rPr>
                <w:rFonts w:ascii="Calibri" w:hAnsi="Calibri"/>
                <w:b/>
                <w:color w:val="FFFFFF"/>
                <w:sz w:val="16"/>
              </w:rPr>
              <w:t>KvK</w:t>
            </w:r>
          </w:p>
        </w:tc>
        <w:tc>
          <w:tcPr>
            <w:tcW w:type="dxa" w:w="3911"/>
            <w:shd w:fill="17324D"/>
            <w:tcMar>
              <w:top w:w="90" w:type="dxa"/>
              <w:start w:w="120" w:type="dxa"/>
              <w:bottom w:w="90" w:type="dxa"/>
              <w:end w:w="120" w:type="dxa"/>
            </w:tcMar>
            <w:vAlign w:val="center"/>
          </w:tcPr>
          <w:p>
            <w:pPr>
              <w:spacing w:after="0"/>
            </w:pPr>
            <w:r>
              <w:rPr>
                <w:rFonts w:ascii="Calibri" w:hAnsi="Calibri"/>
                <w:b/>
                <w:color w:val="FFFFFF"/>
                <w:sz w:val="16"/>
              </w:rPr>
              <w:t>Standaard verwerkingsscope</w:t>
            </w:r>
          </w:p>
        </w:tc>
      </w:tr>
      <w:tr>
        <w:tc>
          <w:tcPr>
            <w:tcW w:type="dxa" w:w="2100"/>
            <w:tcMar>
              <w:top w:w="90" w:type="dxa"/>
              <w:start w:w="120" w:type="dxa"/>
              <w:bottom w:w="90" w:type="dxa"/>
              <w:end w:w="120" w:type="dxa"/>
            </w:tcMar>
            <w:vAlign w:val="center"/>
          </w:tcPr>
          <w:p>
            <w:pPr>
              <w:spacing w:after="0"/>
            </w:pPr>
            <w:r>
              <w:rPr>
                <w:rFonts w:ascii="Calibri" w:hAnsi="Calibri"/>
                <w:color w:val="111827"/>
                <w:sz w:val="16"/>
              </w:rPr>
              <w:t>Brightness Subscriptions B.V.</w:t>
            </w:r>
          </w:p>
        </w:tc>
        <w:tc>
          <w:tcPr>
            <w:tcW w:type="dxa" w:w="2300"/>
            <w:tcMar>
              <w:top w:w="90" w:type="dxa"/>
              <w:start w:w="120" w:type="dxa"/>
              <w:bottom w:w="90" w:type="dxa"/>
              <w:end w:w="120" w:type="dxa"/>
            </w:tcMar>
            <w:vAlign w:val="center"/>
          </w:tcPr>
          <w:p>
            <w:pPr>
              <w:spacing w:after="0"/>
            </w:pPr>
            <w:r>
              <w:rPr>
                <w:rFonts w:ascii="Calibri" w:hAnsi="Calibri"/>
                <w:color w:val="111827"/>
                <w:sz w:val="16"/>
              </w:rPr>
              <w:t>Graftermeerstraat 22c, 2131 AC Hoofddorp</w:t>
            </w:r>
          </w:p>
        </w:tc>
        <w:tc>
          <w:tcPr>
            <w:tcW w:type="dxa" w:w="1100"/>
            <w:tcMar>
              <w:top w:w="90" w:type="dxa"/>
              <w:start w:w="120" w:type="dxa"/>
              <w:bottom w:w="90" w:type="dxa"/>
              <w:end w:w="120" w:type="dxa"/>
            </w:tcMar>
            <w:vAlign w:val="center"/>
          </w:tcPr>
          <w:p>
            <w:pPr>
              <w:spacing w:after="0"/>
            </w:pPr>
            <w:r>
              <w:rPr>
                <w:rFonts w:ascii="Calibri" w:hAnsi="Calibri"/>
                <w:color w:val="111827"/>
                <w:sz w:val="16"/>
              </w:rPr>
              <w:t>81921985</w:t>
            </w:r>
          </w:p>
        </w:tc>
        <w:tc>
          <w:tcPr>
            <w:tcW w:type="dxa" w:w="3911"/>
            <w:tcMar>
              <w:top w:w="90" w:type="dxa"/>
              <w:start w:w="120" w:type="dxa"/>
              <w:bottom w:w="90" w:type="dxa"/>
              <w:end w:w="120" w:type="dxa"/>
            </w:tcMar>
            <w:vAlign w:val="center"/>
          </w:tcPr>
          <w:p>
            <w:pPr>
              <w:spacing w:after="0"/>
            </w:pPr>
            <w:r>
              <w:rPr>
                <w:rFonts w:ascii="Calibri" w:hAnsi="Calibri"/>
                <w:color w:val="111827"/>
                <w:sz w:val="16"/>
              </w:rPr>
              <w:t>SaaS/SparkleCloud, hosting, opslag, abonnementen, licenties, onderhoud, updates, SLA en structurele support.</w:t>
            </w:r>
          </w:p>
        </w:tc>
      </w:tr>
      <w:tr>
        <w:tc>
          <w:tcPr>
            <w:tcW w:type="dxa" w:w="2100"/>
            <w:tcMar>
              <w:top w:w="90" w:type="dxa"/>
              <w:start w:w="120" w:type="dxa"/>
              <w:bottom w:w="90" w:type="dxa"/>
              <w:end w:w="120" w:type="dxa"/>
            </w:tcMar>
            <w:vAlign w:val="center"/>
          </w:tcPr>
          <w:p>
            <w:pPr>
              <w:spacing w:after="0"/>
            </w:pPr>
            <w:r>
              <w:rPr>
                <w:rFonts w:ascii="Calibri" w:hAnsi="Calibri"/>
                <w:color w:val="111827"/>
                <w:sz w:val="16"/>
              </w:rPr>
              <w:t>Brightness ICT B.V.</w:t>
            </w:r>
          </w:p>
        </w:tc>
        <w:tc>
          <w:tcPr>
            <w:tcW w:type="dxa" w:w="2300"/>
            <w:tcMar>
              <w:top w:w="90" w:type="dxa"/>
              <w:start w:w="120" w:type="dxa"/>
              <w:bottom w:w="90" w:type="dxa"/>
              <w:end w:w="120" w:type="dxa"/>
            </w:tcMar>
            <w:vAlign w:val="center"/>
          </w:tcPr>
          <w:p>
            <w:pPr>
              <w:spacing w:after="0"/>
            </w:pPr>
            <w:r>
              <w:rPr>
                <w:rFonts w:ascii="Calibri" w:hAnsi="Calibri"/>
                <w:color w:val="111827"/>
                <w:sz w:val="16"/>
              </w:rPr>
              <w:t>Graftermeerstraat 22c, 2131 AC Hoofddorp</w:t>
            </w:r>
          </w:p>
        </w:tc>
        <w:tc>
          <w:tcPr>
            <w:tcW w:type="dxa" w:w="1100"/>
            <w:tcMar>
              <w:top w:w="90" w:type="dxa"/>
              <w:start w:w="120" w:type="dxa"/>
              <w:bottom w:w="90" w:type="dxa"/>
              <w:end w:w="120" w:type="dxa"/>
            </w:tcMar>
            <w:vAlign w:val="center"/>
          </w:tcPr>
          <w:p>
            <w:pPr>
              <w:spacing w:after="0"/>
            </w:pPr>
            <w:r>
              <w:rPr>
                <w:rFonts w:ascii="Calibri" w:hAnsi="Calibri"/>
                <w:color w:val="111827"/>
                <w:sz w:val="16"/>
              </w:rPr>
              <w:t>63772493</w:t>
            </w:r>
          </w:p>
        </w:tc>
        <w:tc>
          <w:tcPr>
            <w:tcW w:type="dxa" w:w="3911"/>
            <w:tcMar>
              <w:top w:w="90" w:type="dxa"/>
              <w:start w:w="120" w:type="dxa"/>
              <w:bottom w:w="90" w:type="dxa"/>
              <w:end w:w="120" w:type="dxa"/>
            </w:tcMar>
            <w:vAlign w:val="center"/>
          </w:tcPr>
          <w:p>
            <w:pPr>
              <w:spacing w:after="0"/>
            </w:pPr>
            <w:r>
              <w:rPr>
                <w:rFonts w:ascii="Calibri" w:hAnsi="Calibri"/>
                <w:color w:val="111827"/>
                <w:sz w:val="16"/>
              </w:rPr>
              <w:t>Ontwikkeling, implementatie, configuratie, aanpassingen, testen en maatwerk indien en voor zover toegang tot persoonsgegevens nodig is.</w:t>
            </w:r>
          </w:p>
        </w:tc>
      </w:tr>
      <w:tr>
        <w:tc>
          <w:tcPr>
            <w:tcW w:type="dxa" w:w="2100"/>
            <w:tcMar>
              <w:top w:w="90" w:type="dxa"/>
              <w:start w:w="120" w:type="dxa"/>
              <w:bottom w:w="90" w:type="dxa"/>
              <w:end w:w="120" w:type="dxa"/>
            </w:tcMar>
            <w:vAlign w:val="center"/>
          </w:tcPr>
          <w:p>
            <w:pPr>
              <w:spacing w:after="0"/>
            </w:pPr>
            <w:r>
              <w:rPr>
                <w:rFonts w:ascii="Calibri" w:hAnsi="Calibri"/>
                <w:color w:val="111827"/>
                <w:sz w:val="16"/>
              </w:rPr>
              <w:t>Brightness India B.V.</w:t>
            </w:r>
          </w:p>
        </w:tc>
        <w:tc>
          <w:tcPr>
            <w:tcW w:type="dxa" w:w="2300"/>
            <w:tcMar>
              <w:top w:w="90" w:type="dxa"/>
              <w:start w:w="120" w:type="dxa"/>
              <w:bottom w:w="90" w:type="dxa"/>
              <w:end w:w="120" w:type="dxa"/>
            </w:tcMar>
            <w:vAlign w:val="center"/>
          </w:tcPr>
          <w:p>
            <w:pPr>
              <w:spacing w:after="0"/>
            </w:pPr>
            <w:r>
              <w:rPr>
                <w:rFonts w:ascii="Calibri" w:hAnsi="Calibri"/>
                <w:color w:val="111827"/>
                <w:sz w:val="16"/>
              </w:rPr>
              <w:t>Graftermeerstraat 22c, 2131 AC Hoofddorp</w:t>
            </w:r>
          </w:p>
        </w:tc>
        <w:tc>
          <w:tcPr>
            <w:tcW w:type="dxa" w:w="1100"/>
            <w:tcMar>
              <w:top w:w="90" w:type="dxa"/>
              <w:start w:w="120" w:type="dxa"/>
              <w:bottom w:w="90" w:type="dxa"/>
              <w:end w:w="120" w:type="dxa"/>
            </w:tcMar>
            <w:vAlign w:val="center"/>
          </w:tcPr>
          <w:p>
            <w:pPr>
              <w:spacing w:after="0"/>
            </w:pPr>
            <w:r>
              <w:rPr>
                <w:rFonts w:ascii="Calibri" w:hAnsi="Calibri"/>
                <w:color w:val="111827"/>
                <w:sz w:val="16"/>
              </w:rPr>
              <w:t>63516136</w:t>
            </w:r>
          </w:p>
        </w:tc>
        <w:tc>
          <w:tcPr>
            <w:tcW w:type="dxa" w:w="3911"/>
            <w:tcMar>
              <w:top w:w="90" w:type="dxa"/>
              <w:start w:w="120" w:type="dxa"/>
              <w:bottom w:w="90" w:type="dxa"/>
              <w:end w:w="120" w:type="dxa"/>
            </w:tcMar>
            <w:vAlign w:val="center"/>
          </w:tcPr>
          <w:p>
            <w:pPr>
              <w:spacing w:after="0"/>
            </w:pPr>
            <w:r>
              <w:rPr>
                <w:rFonts w:ascii="Calibri" w:hAnsi="Calibri"/>
                <w:color w:val="111827"/>
                <w:sz w:val="16"/>
              </w:rPr>
              <w:t>Eigen softwareontwikkelingsopdrachten en uitvoering van werkzaamheden voor Brightness ICT B.V. indien in de opdracht aangewezen.</w:t>
            </w:r>
          </w:p>
        </w:tc>
      </w:tr>
    </w:tbl>
    <w:p>
      <w:pPr>
        <w:spacing w:after="0"/>
      </w:pPr>
    </w:p>
    <w:p>
      <w:pPr>
        <w:spacing w:after="120" w:line="264" w:lineRule="auto"/>
        <w:ind w:left="0" w:firstLine="0"/>
      </w:pPr>
      <w:r>
        <w:rPr>
          <w:rFonts w:ascii="Calibri" w:hAnsi="Calibri"/>
          <w:b/>
          <w:color w:val="17324D"/>
        </w:rPr>
        <w:t xml:space="preserve">4.1  </w:t>
      </w:r>
      <w:r>
        <w:rPr>
          <w:rFonts w:ascii="Calibri" w:hAnsi="Calibri"/>
        </w:rPr>
        <w:t>Brightness Subscriptions B.V. gebruikt Brightness India B.V. en Brightness Software Development (I) Private Limited niet voor de verwerking onder haar hosting-, opslag-, abonnements-, SLA- en supportdiensten.</w:t>
      </w:r>
    </w:p>
    <w:p>
      <w:pPr>
        <w:spacing w:after="120" w:line="264" w:lineRule="auto"/>
        <w:ind w:left="0" w:firstLine="0"/>
      </w:pPr>
      <w:r>
        <w:rPr>
          <w:rFonts w:ascii="Calibri" w:hAnsi="Calibri"/>
          <w:b/>
          <w:color w:val="17324D"/>
        </w:rPr>
        <w:t xml:space="preserve">4.2  </w:t>
      </w:r>
      <w:r>
        <w:rPr>
          <w:rFonts w:ascii="Calibri" w:hAnsi="Calibri"/>
        </w:rPr>
        <w:t>Als een Klant naast een dienst van Brightness Subscriptions B.V. rechtstreeks ontwikkelwerk bij Brightness ICT B.V. afneemt, kunnen beide entiteiten in één Offerte en Verwerkingsbijlage worden aangewezen. Iedere entiteit blijft verantwoordelijk voor haar eigen scope.</w:t>
      </w:r>
    </w:p>
    <w:p>
      <w:pPr>
        <w:spacing w:after="120" w:line="264" w:lineRule="auto"/>
        <w:ind w:left="0" w:firstLine="0"/>
      </w:pPr>
      <w:r>
        <w:rPr>
          <w:rFonts w:ascii="Calibri" w:hAnsi="Calibri"/>
          <w:b/>
          <w:color w:val="17324D"/>
        </w:rPr>
        <w:t xml:space="preserve">4.3  </w:t>
      </w:r>
      <w:r>
        <w:rPr>
          <w:rFonts w:ascii="Calibri" w:hAnsi="Calibri"/>
        </w:rPr>
        <w:t>Brightness ICT B.V. kan voor geautoriseerde ontwikkelwerkzaamheden Brightness India B.V. als Subverwerker inschakelen. Brightness India B.V. kan vervolgens Brightness Software Development (I) Private Limited inschakelen als achterliggende Subverwerker. De voorwaarden van artikelen 10 en 11 gelden vóór toegang tot persoonsgegevens.</w:t>
      </w:r>
    </w:p>
    <w:p>
      <w:pPr>
        <w:spacing w:after="120" w:line="264" w:lineRule="auto"/>
        <w:ind w:left="0" w:firstLine="0"/>
      </w:pPr>
      <w:r>
        <w:rPr>
          <w:rFonts w:ascii="Calibri" w:hAnsi="Calibri"/>
          <w:b/>
          <w:color w:val="17324D"/>
        </w:rPr>
        <w:t xml:space="preserve">4.4  </w:t>
      </w:r>
      <w:r>
        <w:rPr>
          <w:rFonts w:ascii="Calibri" w:hAnsi="Calibri"/>
        </w:rPr>
        <w:t>Bij een rechtstreekse opdracht van een eigen klant aan Brightness India B.V. is Brightness India B.V. directe Verwerker. Brightness Software Development (I) Private Limited is voor feitelijke uitvoering vanuit India de Subverwerker, mits geautoriseerd en juridisch ingericht.</w:t>
      </w:r>
    </w:p>
    <w:p>
      <w:pPr>
        <w:spacing w:after="120" w:line="264" w:lineRule="auto"/>
        <w:ind w:left="0" w:firstLine="0"/>
      </w:pPr>
      <w:r>
        <w:rPr>
          <w:rFonts w:ascii="Calibri" w:hAnsi="Calibri"/>
          <w:b/>
          <w:color w:val="17324D"/>
        </w:rPr>
        <w:t xml:space="preserve">4.5  </w:t>
      </w:r>
      <w:r>
        <w:rPr>
          <w:rFonts w:ascii="Calibri" w:hAnsi="Calibri"/>
        </w:rPr>
        <w:t>Brightness Group B.V. is uitsluitend holding en is geen partij, Verwerker, medecontractant of garantsteller, tenzij zij zelf uitdrukkelijk een overeenkomst ondertekent.</w:t>
      </w:r>
    </w:p>
    <w:p>
      <w:pPr>
        <w:pStyle w:val="Heading1"/>
        <w:keepNext/>
      </w:pPr>
      <w:r>
        <w:t>Artikel 5 - Verantwoordelijkheden van de Klant</w:t>
      </w:r>
    </w:p>
    <w:p>
      <w:pPr>
        <w:spacing w:after="120" w:line="264" w:lineRule="auto"/>
        <w:ind w:left="0" w:firstLine="0"/>
      </w:pPr>
      <w:r>
        <w:rPr>
          <w:rFonts w:ascii="Calibri" w:hAnsi="Calibri"/>
          <w:b/>
          <w:color w:val="17324D"/>
        </w:rPr>
        <w:t xml:space="preserve">5.1  </w:t>
      </w:r>
      <w:r>
        <w:rPr>
          <w:rFonts w:ascii="Calibri" w:hAnsi="Calibri"/>
        </w:rPr>
        <w:t>De Klant is verantwoordelijk voor rechtmatigheid, transparantie, grondslagen, doelbinding, juistheid, gegevensminimalisatie, eigen bewaartermijnen, behandeling van betrokkenen, interne autorisaties en geschiktheid van de gekozen Dienst voor de gegevens.</w:t>
      </w:r>
    </w:p>
    <w:p>
      <w:pPr>
        <w:spacing w:after="120" w:line="264" w:lineRule="auto"/>
        <w:ind w:left="0" w:firstLine="0"/>
      </w:pPr>
      <w:r>
        <w:rPr>
          <w:rFonts w:ascii="Calibri" w:hAnsi="Calibri"/>
          <w:b/>
          <w:color w:val="17324D"/>
        </w:rPr>
        <w:t xml:space="preserve">5.2  </w:t>
      </w:r>
      <w:r>
        <w:rPr>
          <w:rFonts w:ascii="Calibri" w:hAnsi="Calibri"/>
        </w:rPr>
        <w:t>De Klant beheert eigen gebruikers, rollen, rechten, externe gebruikers, eindapparaten, API-sleutels en koppelingen. De Klant activeert en handhaaft MFA voor eigen gebruikers waar dit passend of vereist is en trekt toegang tijdig in.</w:t>
      </w:r>
    </w:p>
    <w:p>
      <w:pPr>
        <w:spacing w:after="120" w:line="264" w:lineRule="auto"/>
        <w:ind w:left="0" w:firstLine="0"/>
      </w:pPr>
      <w:r>
        <w:rPr>
          <w:rFonts w:ascii="Calibri" w:hAnsi="Calibri"/>
          <w:b/>
          <w:color w:val="17324D"/>
        </w:rPr>
        <w:t xml:space="preserve">5.3  </w:t>
      </w:r>
      <w:r>
        <w:rPr>
          <w:rFonts w:ascii="Calibri" w:hAnsi="Calibri"/>
        </w:rPr>
        <w:t>Bijzondere persoonsgegevens, strafrechtelijke gegevens en grootschalige of hoog-risicogegevens van minderjarigen of andere kwetsbare personen mogen alleen worden verwerkt als dit vooraf schriftelijk is gemeld en in de Offerte of Verwerkingsbijlage is aanvaard. De Klant specificeert categorie, doel, grondslag, omvang en bewaartermijn en voert waar nodig een DPIA uit.</w:t>
      </w:r>
    </w:p>
    <w:p>
      <w:pPr>
        <w:spacing w:after="120" w:line="264" w:lineRule="auto"/>
        <w:ind w:left="0" w:firstLine="0"/>
      </w:pPr>
      <w:r>
        <w:rPr>
          <w:rFonts w:ascii="Calibri" w:hAnsi="Calibri"/>
          <w:b/>
          <w:color w:val="17324D"/>
        </w:rPr>
        <w:t xml:space="preserve">5.4  </w:t>
      </w:r>
      <w:r>
        <w:rPr>
          <w:rFonts w:ascii="Calibri" w:hAnsi="Calibri"/>
        </w:rPr>
        <w:t>De Klant verstrekt geen gegevens die de overeengekomen beveiliging of dienstverlening evident ongeschikt maken zonder vooraf aanvullende maatregelen overeen te komen.</w:t>
      </w:r>
    </w:p>
    <w:p>
      <w:pPr>
        <w:pStyle w:val="Heading1"/>
        <w:keepNext/>
      </w:pPr>
      <w:r>
        <w:t>Artikel 6 - Vertrouwelijkheid en personen onder gezag</w:t>
      </w:r>
    </w:p>
    <w:p>
      <w:pPr>
        <w:spacing w:after="120" w:line="264" w:lineRule="auto"/>
        <w:ind w:left="0" w:firstLine="0"/>
      </w:pPr>
      <w:r>
        <w:rPr>
          <w:rFonts w:ascii="Calibri" w:hAnsi="Calibri"/>
          <w:b/>
          <w:color w:val="17324D"/>
        </w:rPr>
        <w:t xml:space="preserve">6.1  </w:t>
      </w:r>
      <w:r>
        <w:rPr>
          <w:rFonts w:ascii="Calibri" w:hAnsi="Calibri"/>
        </w:rPr>
        <w:t>De Verwerker waarborgt dat personen die onder haar gezag persoonsgegevens verwerken uitsluitend op instructie handelen en contractueel of wettelijk aan vertrouwelijkheid zijn gebonden. De geheimhouding duurt voort na het einde van hun werkzaamheden.</w:t>
      </w:r>
    </w:p>
    <w:p>
      <w:pPr>
        <w:spacing w:after="120" w:line="264" w:lineRule="auto"/>
        <w:ind w:left="0" w:firstLine="0"/>
      </w:pPr>
      <w:r>
        <w:rPr>
          <w:rFonts w:ascii="Calibri" w:hAnsi="Calibri"/>
          <w:b/>
          <w:color w:val="17324D"/>
        </w:rPr>
        <w:t xml:space="preserve">6.2  </w:t>
      </w:r>
      <w:r>
        <w:rPr>
          <w:rFonts w:ascii="Calibri" w:hAnsi="Calibri"/>
        </w:rPr>
        <w:t>Toegang is gebaseerd op noodzakelijkheid en passende bevoegdheden. Toegang wordt aangepast of ingetrokken bij functiewijziging, beëindiging van betrokkenheid of uitdiensttreding.</w:t>
      </w:r>
    </w:p>
    <w:p>
      <w:pPr>
        <w:spacing w:after="120" w:line="264" w:lineRule="auto"/>
        <w:ind w:left="0" w:firstLine="0"/>
      </w:pPr>
      <w:r>
        <w:rPr>
          <w:rFonts w:ascii="Calibri" w:hAnsi="Calibri"/>
          <w:b/>
          <w:color w:val="17324D"/>
        </w:rPr>
        <w:t xml:space="preserve">6.3  </w:t>
      </w:r>
      <w:r>
        <w:rPr>
          <w:rFonts w:ascii="Calibri" w:hAnsi="Calibri"/>
        </w:rPr>
        <w:t>Betrokken medewerkers en ingehuurde personen ontvangen bij aanvang relevante privacy- en beveiligingsinstructies. Minimaal jaarlijks vindt beveiligings- en privacybewustwording plaats. Verhoogde rechten worden minimaal halfjaarlijks beoordeeld en de uitvoering wordt intern vastgelegd.</w:t>
      </w:r>
    </w:p>
    <w:p>
      <w:pPr>
        <w:pStyle w:val="Heading1"/>
        <w:keepNext/>
      </w:pPr>
      <w:r>
        <w:t>Artikel 7 - Beveiliging</w:t>
      </w:r>
    </w:p>
    <w:p>
      <w:pPr>
        <w:spacing w:after="120" w:line="264" w:lineRule="auto"/>
        <w:ind w:left="0" w:firstLine="0"/>
      </w:pPr>
      <w:r>
        <w:rPr>
          <w:rFonts w:ascii="Calibri" w:hAnsi="Calibri"/>
          <w:b/>
          <w:color w:val="17324D"/>
        </w:rPr>
        <w:t xml:space="preserve">7.1  </w:t>
      </w:r>
      <w:r>
        <w:rPr>
          <w:rFonts w:ascii="Calibri" w:hAnsi="Calibri"/>
        </w:rPr>
        <w:t>De Verwerker treft passende technische en organisatorische maatregelen als bedoeld in artikel 32 AVG, rekening houdend met stand van de techniek, uitvoeringskosten, aard, omvang, context, doeleinden en risico's van de verwerking.</w:t>
      </w:r>
    </w:p>
    <w:p>
      <w:pPr>
        <w:spacing w:after="120" w:line="264" w:lineRule="auto"/>
        <w:ind w:left="0" w:firstLine="0"/>
      </w:pPr>
      <w:r>
        <w:rPr>
          <w:rFonts w:ascii="Calibri" w:hAnsi="Calibri"/>
          <w:b/>
          <w:color w:val="17324D"/>
        </w:rPr>
        <w:t xml:space="preserve">7.2  </w:t>
      </w:r>
      <w:r>
        <w:rPr>
          <w:rFonts w:ascii="Calibri" w:hAnsi="Calibri"/>
        </w:rPr>
        <w:t>De minimummaatregelen staan in de Beveiligingsbijlage Brightness. Klantspecifieke maatregelen, RPO, RTO, beschikbaarheid, dedicated inrichting en bijzondere eisen gelden alleen als zij schriftelijk in de Offerte of SLA zijn opgenomen.</w:t>
      </w:r>
    </w:p>
    <w:p>
      <w:pPr>
        <w:spacing w:after="120" w:line="264" w:lineRule="auto"/>
        <w:ind w:left="0" w:firstLine="0"/>
      </w:pPr>
      <w:r>
        <w:rPr>
          <w:rFonts w:ascii="Calibri" w:hAnsi="Calibri"/>
          <w:b/>
          <w:color w:val="17324D"/>
        </w:rPr>
        <w:t xml:space="preserve">7.3  </w:t>
      </w:r>
      <w:r>
        <w:rPr>
          <w:rFonts w:ascii="Calibri" w:hAnsi="Calibri"/>
        </w:rPr>
        <w:t>De Verwerker mag maatregelen zelfstandig verbeteren. Zij verlaagt het overeengekomen beschermingsniveau niet wezenlijk. Een voorgenomen wezenlijke verlaging wordt vooraf gemeld en vereist instemming voor zover daarmee een bindende afspraak wordt gewijzigd.</w:t>
      </w:r>
    </w:p>
    <w:p>
      <w:pPr>
        <w:spacing w:after="120" w:line="264" w:lineRule="auto"/>
        <w:ind w:left="0" w:firstLine="0"/>
      </w:pPr>
      <w:r>
        <w:rPr>
          <w:rFonts w:ascii="Calibri" w:hAnsi="Calibri"/>
          <w:b/>
          <w:color w:val="17324D"/>
        </w:rPr>
        <w:t xml:space="preserve">7.4  </w:t>
      </w:r>
      <w:r>
        <w:rPr>
          <w:rFonts w:ascii="Calibri" w:hAnsi="Calibri"/>
        </w:rPr>
        <w:t>Normale supporttoegang vindt uitsluitend plaats na een supportverzoek of andere gedocumenteerde toestemming. Bij een acute beveiligingsdreiging of ernstige storing mag de Verwerker zonder voorafgaande toestemming tijdelijk noodzakelijke noodtoegang gebruiken als wachten redelijkerwijs schade kan veroorzaken. Deze toegang wordt gelogd, beperkt en achteraf zonder onredelijke vertraging gemeld.</w:t>
      </w:r>
    </w:p>
    <w:p>
      <w:pPr>
        <w:pStyle w:val="Heading1"/>
        <w:keepNext/>
      </w:pPr>
      <w:r>
        <w:t>Artikel 8 - Inbreuken en beveiligingsincidenten</w:t>
      </w:r>
    </w:p>
    <w:p>
      <w:pPr>
        <w:spacing w:after="120" w:line="264" w:lineRule="auto"/>
        <w:ind w:left="0" w:firstLine="0"/>
      </w:pPr>
      <w:r>
        <w:rPr>
          <w:rFonts w:ascii="Calibri" w:hAnsi="Calibri"/>
          <w:b/>
          <w:color w:val="17324D"/>
        </w:rPr>
        <w:t xml:space="preserve">8.1  </w:t>
      </w:r>
      <w:r>
        <w:rPr>
          <w:rFonts w:ascii="Calibri" w:hAnsi="Calibri"/>
        </w:rPr>
        <w:t>De Verwerker informeert de Klant zonder onredelijke vertraging nadat zij kennis heeft genomen van een inbreuk in verband met persoonsgegevens. Ook bij een redelijk vermoeden geeft zij waar passend een voorlopige waarschuwing. Zij streeft ernaar de eerste melding uiterlijk binnen 24 uur na kennisneming te doen.</w:t>
      </w:r>
    </w:p>
    <w:p>
      <w:pPr>
        <w:spacing w:after="120" w:line="264" w:lineRule="auto"/>
        <w:ind w:left="0" w:firstLine="0"/>
      </w:pPr>
      <w:r>
        <w:rPr>
          <w:rFonts w:ascii="Calibri" w:hAnsi="Calibri"/>
          <w:b/>
          <w:color w:val="17324D"/>
        </w:rPr>
        <w:t xml:space="preserve">8.2  </w:t>
      </w:r>
      <w:r>
        <w:rPr>
          <w:rFonts w:ascii="Calibri" w:hAnsi="Calibri"/>
        </w:rPr>
        <w:t>De eerste melding bevat, voor zover bekend: aard en omvang; betrokken systemen, gegevens en categorieën betrokkenen; waarschijnlijke gevolgen; genomen of voorgestelde maatregelen; contactpunt; en beschikbare log- en tijdlijninformatie. Informatie mag gefaseerd worden aangevuld.</w:t>
      </w:r>
    </w:p>
    <w:p>
      <w:pPr>
        <w:spacing w:after="120" w:line="264" w:lineRule="auto"/>
        <w:ind w:left="0" w:firstLine="0"/>
      </w:pPr>
      <w:r>
        <w:rPr>
          <w:rFonts w:ascii="Calibri" w:hAnsi="Calibri"/>
          <w:b/>
          <w:color w:val="17324D"/>
        </w:rPr>
        <w:t xml:space="preserve">8.3  </w:t>
      </w:r>
      <w:r>
        <w:rPr>
          <w:rFonts w:ascii="Calibri" w:hAnsi="Calibri"/>
        </w:rPr>
        <w:t>De Verwerker beperkt en onderzoekt het incident, bewaart relevante informatie en verleent redelijke bijstand bij de beoordeling en melding. Privacy- en incidentmeldingen aan Brightness gaan naar support@brightness-group.com en bij urgentie tevens naar +31 23 557 4211.</w:t>
      </w:r>
    </w:p>
    <w:p>
      <w:pPr>
        <w:spacing w:after="120" w:line="264" w:lineRule="auto"/>
        <w:ind w:left="0" w:firstLine="0"/>
      </w:pPr>
      <w:r>
        <w:rPr>
          <w:rFonts w:ascii="Calibri" w:hAnsi="Calibri"/>
          <w:b/>
          <w:color w:val="17324D"/>
        </w:rPr>
        <w:t xml:space="preserve">8.4  </w:t>
      </w:r>
      <w:r>
        <w:rPr>
          <w:rFonts w:ascii="Calibri" w:hAnsi="Calibri"/>
        </w:rPr>
        <w:t>De Klant beslist als verwerkingsverantwoordelijke over meldingen aan toezichthouders en betrokkenen. De Verwerker meldt niet zelfstandig namens de Klant, tenzij dit wettelijk verplicht is of de Klant haar schriftelijk machtigt.</w:t>
      </w:r>
    </w:p>
    <w:p>
      <w:pPr>
        <w:pStyle w:val="Heading1"/>
        <w:keepNext/>
      </w:pPr>
      <w:r>
        <w:t>Artikel 9 - Rechten, DPIA en overige bijstand</w:t>
      </w:r>
    </w:p>
    <w:p>
      <w:pPr>
        <w:spacing w:after="120" w:line="264" w:lineRule="auto"/>
        <w:ind w:left="0" w:firstLine="0"/>
      </w:pPr>
      <w:r>
        <w:rPr>
          <w:rFonts w:ascii="Calibri" w:hAnsi="Calibri"/>
          <w:b/>
          <w:color w:val="17324D"/>
        </w:rPr>
        <w:t xml:space="preserve">9.1  </w:t>
      </w:r>
      <w:r>
        <w:rPr>
          <w:rFonts w:ascii="Calibri" w:hAnsi="Calibri"/>
        </w:rPr>
        <w:t>De Verwerker ondersteunt de Klant, rekening houdend met de aard van de verwerking, met passende technische en organisatorische maatregelen bij verzoeken van betrokkenen.</w:t>
      </w:r>
    </w:p>
    <w:p>
      <w:pPr>
        <w:spacing w:after="120" w:line="264" w:lineRule="auto"/>
        <w:ind w:left="0" w:firstLine="0"/>
      </w:pPr>
      <w:r>
        <w:rPr>
          <w:rFonts w:ascii="Calibri" w:hAnsi="Calibri"/>
          <w:b/>
          <w:color w:val="17324D"/>
        </w:rPr>
        <w:t xml:space="preserve">9.2  </w:t>
      </w:r>
      <w:r>
        <w:rPr>
          <w:rFonts w:ascii="Calibri" w:hAnsi="Calibri"/>
        </w:rPr>
        <w:t>Een verzoek dat rechtstreeks bij de Verwerker binnenkomt, wordt zonder inhoudelijke afhandeling doorgestuurd naar het door de Klant opgegeven contact. De Verwerker streeft naar doorsturen of een eerste reactie binnen vijf werkdagen, tenzij spoed een kortere termijn vereist.</w:t>
      </w:r>
    </w:p>
    <w:p>
      <w:pPr>
        <w:spacing w:after="120" w:line="264" w:lineRule="auto"/>
        <w:ind w:left="0" w:firstLine="0"/>
      </w:pPr>
      <w:r>
        <w:rPr>
          <w:rFonts w:ascii="Calibri" w:hAnsi="Calibri"/>
          <w:b/>
          <w:color w:val="17324D"/>
        </w:rPr>
        <w:t xml:space="preserve">9.3  </w:t>
      </w:r>
      <w:r>
        <w:rPr>
          <w:rFonts w:ascii="Calibri" w:hAnsi="Calibri"/>
        </w:rPr>
        <w:t>Ondersteuning via bestaande functies is inbegrepen. Omvangrijke zoek-, herstel-, export-, conversie- of maatwerkhandelingen worden vooraf afgestemd en mogen tegen het overeengekomen tarief worden uitgevoerd, behalve voor zover zij noodzakelijk zijn door een tekortkoming van de Verwerker.</w:t>
      </w:r>
    </w:p>
    <w:p>
      <w:pPr>
        <w:spacing w:after="120" w:line="264" w:lineRule="auto"/>
        <w:ind w:left="0" w:firstLine="0"/>
      </w:pPr>
      <w:r>
        <w:rPr>
          <w:rFonts w:ascii="Calibri" w:hAnsi="Calibri"/>
          <w:b/>
          <w:color w:val="17324D"/>
        </w:rPr>
        <w:t xml:space="preserve">9.4  </w:t>
      </w:r>
      <w:r>
        <w:rPr>
          <w:rFonts w:ascii="Calibri" w:hAnsi="Calibri"/>
        </w:rPr>
        <w:t>De Verwerker verleent redelijke bijstand bij de verplichtingen uit artikelen 32 tot en met 36 AVG, waaronder beveiliging, datalekmeldingen, DPIA's en voorafgaande raadpleging, voor zover de aard van de verwerking en de beschikbare informatie dit mogelijk maken.</w:t>
      </w:r>
    </w:p>
    <w:p>
      <w:pPr>
        <w:pStyle w:val="Heading1"/>
        <w:keepNext/>
      </w:pPr>
      <w:r>
        <w:t>Artikel 10 - Subverwerkers</w:t>
      </w:r>
    </w:p>
    <w:p>
      <w:pPr>
        <w:spacing w:after="120" w:line="264" w:lineRule="auto"/>
        <w:ind w:left="0" w:firstLine="0"/>
      </w:pPr>
      <w:r>
        <w:rPr>
          <w:rFonts w:ascii="Calibri" w:hAnsi="Calibri"/>
          <w:b/>
          <w:color w:val="17324D"/>
        </w:rPr>
        <w:t xml:space="preserve">10.1  </w:t>
      </w:r>
      <w:r>
        <w:rPr>
          <w:rFonts w:ascii="Calibri" w:hAnsi="Calibri"/>
        </w:rPr>
        <w:t>De Klant verleent algemene schriftelijke toestemming voor de Subverwerkers die bij contractsluiting in de geautoriseerde versie van het Subverwerkersregister staan en voor de daarin beschreven scope.</w:t>
      </w:r>
    </w:p>
    <w:p>
      <w:pPr>
        <w:spacing w:after="120" w:line="264" w:lineRule="auto"/>
        <w:ind w:left="0" w:firstLine="0"/>
      </w:pPr>
      <w:r>
        <w:rPr>
          <w:rFonts w:ascii="Calibri" w:hAnsi="Calibri"/>
          <w:b/>
          <w:color w:val="17324D"/>
        </w:rPr>
        <w:t xml:space="preserve">10.2  </w:t>
      </w:r>
      <w:r>
        <w:rPr>
          <w:rFonts w:ascii="Calibri" w:hAnsi="Calibri"/>
        </w:rPr>
        <w:t>De Verwerker informeert de Klant actief minimaal dertig dagen vóór een voorgenomen toevoeging of vervanging via e-mail of de klantomgeving en werkt het register bij. Alleen een ongemelde wijziging van een webpagina geldt niet als actieve informatie.</w:t>
      </w:r>
    </w:p>
    <w:p>
      <w:pPr>
        <w:spacing w:after="120" w:line="264" w:lineRule="auto"/>
        <w:ind w:left="0" w:firstLine="0"/>
      </w:pPr>
      <w:r>
        <w:rPr>
          <w:rFonts w:ascii="Calibri" w:hAnsi="Calibri"/>
          <w:b/>
          <w:color w:val="17324D"/>
        </w:rPr>
        <w:t xml:space="preserve">10.3  </w:t>
      </w:r>
      <w:r>
        <w:rPr>
          <w:rFonts w:ascii="Calibri" w:hAnsi="Calibri"/>
        </w:rPr>
        <w:t>De Klant kan binnen vijftien dagen gemotiveerd bezwaar maken wegens concrete gegevensbeschermings- of beveiligingsrisico's. Partijen proberen eerst een redelijke oplossing te vinden, zoals aanvullende maatregelen, beperking of uitschakeling van het getroffen onderdeel.</w:t>
      </w:r>
    </w:p>
    <w:p>
      <w:pPr>
        <w:spacing w:after="120" w:line="264" w:lineRule="auto"/>
        <w:ind w:left="0" w:firstLine="0"/>
      </w:pPr>
      <w:r>
        <w:rPr>
          <w:rFonts w:ascii="Calibri" w:hAnsi="Calibri"/>
          <w:b/>
          <w:color w:val="17324D"/>
        </w:rPr>
        <w:t xml:space="preserve">10.4  </w:t>
      </w:r>
      <w:r>
        <w:rPr>
          <w:rFonts w:ascii="Calibri" w:hAnsi="Calibri"/>
        </w:rPr>
        <w:t>Als een noodzakelijke Subverwerker niet redelijk kan worden vervangen, mag de Klant het wezenlijk getroffen dienstonderdeel beëindigen vóór inschakeling. Overige niet-getroffen diensten blijven in stand.</w:t>
      </w:r>
    </w:p>
    <w:p>
      <w:pPr>
        <w:spacing w:after="120" w:line="264" w:lineRule="auto"/>
        <w:ind w:left="0" w:firstLine="0"/>
      </w:pPr>
      <w:r>
        <w:rPr>
          <w:rFonts w:ascii="Calibri" w:hAnsi="Calibri"/>
          <w:b/>
          <w:color w:val="17324D"/>
        </w:rPr>
        <w:t xml:space="preserve">10.5  </w:t>
      </w:r>
      <w:r>
        <w:rPr>
          <w:rFonts w:ascii="Calibri" w:hAnsi="Calibri"/>
        </w:rPr>
        <w:t>De Verwerker legt iedere Subverwerker schriftelijk dezelfde gegevensbeschermingsverplichtingen op als voor de toepasselijke verwerking uit deze overeenkomst voortvloeien en blijft tegenover de Klant verantwoordelijk voor de nakoming door haar Subverwerker binnen de betreffende verwerkingsketen.</w:t>
      </w:r>
    </w:p>
    <w:p>
      <w:pPr>
        <w:spacing w:after="120" w:line="264" w:lineRule="auto"/>
        <w:ind w:left="0" w:firstLine="0"/>
      </w:pPr>
      <w:r>
        <w:rPr>
          <w:rFonts w:ascii="Calibri" w:hAnsi="Calibri"/>
          <w:b/>
          <w:color w:val="17324D"/>
        </w:rPr>
        <w:t xml:space="preserve">10.6  </w:t>
      </w:r>
      <w:r>
        <w:rPr>
          <w:rFonts w:ascii="Calibri" w:hAnsi="Calibri"/>
        </w:rPr>
        <w:t>Toegang vanuit India vereist een specifieke aanwijzing in de Offerte of Verwerkingsbijlage of een latere schriftelijke toestemming, plus afronding van de vereiste doorgiftewaarborgen. Brightness Subscriptions B.V. gebruikt geen India-entiteit voor haar verwerking.</w:t>
      </w:r>
    </w:p>
    <w:p>
      <w:pPr>
        <w:pStyle w:val="Heading1"/>
        <w:keepNext/>
      </w:pPr>
      <w:r>
        <w:t>Artikel 11 - Doorgiften buiten de EER</w:t>
      </w:r>
    </w:p>
    <w:p>
      <w:pPr>
        <w:spacing w:after="120" w:line="264" w:lineRule="auto"/>
        <w:ind w:left="0" w:firstLine="0"/>
      </w:pPr>
      <w:r>
        <w:rPr>
          <w:rFonts w:ascii="Calibri" w:hAnsi="Calibri"/>
          <w:b/>
          <w:color w:val="17324D"/>
        </w:rPr>
        <w:t xml:space="preserve">11.1  </w:t>
      </w:r>
      <w:r>
        <w:rPr>
          <w:rFonts w:ascii="Calibri" w:hAnsi="Calibri"/>
        </w:rPr>
        <w:t>De standaardhosting en back-ups worden in Nederland uitgevoerd. Een andere locatie geldt alleen als de Klant die kiest of de Offerte of Verwerkingsbijlage dit uitdrukkelijk vermeldt.</w:t>
      </w:r>
    </w:p>
    <w:p>
      <w:pPr>
        <w:spacing w:after="120" w:line="264" w:lineRule="auto"/>
        <w:ind w:left="0" w:firstLine="0"/>
      </w:pPr>
      <w:r>
        <w:rPr>
          <w:rFonts w:ascii="Calibri" w:hAnsi="Calibri"/>
          <w:b/>
          <w:color w:val="17324D"/>
        </w:rPr>
        <w:t xml:space="preserve">11.2  </w:t>
      </w:r>
      <w:r>
        <w:rPr>
          <w:rFonts w:ascii="Calibri" w:hAnsi="Calibri"/>
        </w:rPr>
        <w:t>Een doorgifte buiten de EER vindt alleen plaats op gedocumenteerde instructie of met toestemming van de Klant en met een geldig mechanisme uit hoofdstuk V AVG, zoals een adequaatheidsbesluit of toepasselijke standaardcontractbepalingen van de Europese Commissie.</w:t>
      </w:r>
    </w:p>
    <w:p>
      <w:pPr>
        <w:spacing w:after="120" w:line="264" w:lineRule="auto"/>
        <w:ind w:left="0" w:firstLine="0"/>
      </w:pPr>
      <w:r>
        <w:rPr>
          <w:rFonts w:ascii="Calibri" w:hAnsi="Calibri"/>
          <w:b/>
          <w:color w:val="17324D"/>
        </w:rPr>
        <w:t xml:space="preserve">11.3  </w:t>
      </w:r>
      <w:r>
        <w:rPr>
          <w:rFonts w:ascii="Calibri" w:hAnsi="Calibri"/>
        </w:rPr>
        <w:t>Waar vereist worden vóór toegang een doorgiftebeoordeling en passende aanvullende technische, contractuele en organisatorische maatregelen uitgevoerd. Voor de keten van een Nederlandse Brightness-verwerker via Brightness India B.V. naar Brightness Software Development (I) Private Limited worden, zolang geen adequaatheidsbesluit of ander passend mechanisme geldt, de toepasselijke EU-standaardcontractbepalingen voor verwerker-naar-verwerker (Module 3) gebruikt.</w:t>
      </w:r>
    </w:p>
    <w:p>
      <w:pPr>
        <w:spacing w:after="120" w:line="264" w:lineRule="auto"/>
        <w:ind w:left="0" w:firstLine="0"/>
      </w:pPr>
      <w:r>
        <w:rPr>
          <w:rFonts w:ascii="Calibri" w:hAnsi="Calibri"/>
          <w:b/>
          <w:color w:val="17324D"/>
        </w:rPr>
        <w:t xml:space="preserve">11.4  </w:t>
      </w:r>
      <w:r>
        <w:rPr>
          <w:rFonts w:ascii="Calibri" w:hAnsi="Calibri"/>
        </w:rPr>
        <w:t>Bij een door de Klant gekozen externe dienst via een eigen account of API-sleutel is de externe partij een rechtstreeks door de Klant ingeschakelde derde en geen Subverwerker van de Verwerker. De Klant is verantwoordelijk voor leverancier, contract, regio, grondslag, voorwaarden en instellingen. Behoudens dwingend recht is de Verwerker niet verantwoordelijk voor de verwerking, beveiliging, beschikbaarheid, bewaring, training of overige gedragingen van die externe partij. De Verwerker blijft wel verantwoordelijk voor een correcte en passend beveiligde uitvoering van haar eigen koppeling.</w:t>
      </w:r>
    </w:p>
    <w:p>
      <w:pPr>
        <w:spacing w:after="120" w:line="264" w:lineRule="auto"/>
        <w:ind w:left="0" w:firstLine="0"/>
      </w:pPr>
      <w:r>
        <w:rPr>
          <w:rFonts w:ascii="Calibri" w:hAnsi="Calibri"/>
          <w:b/>
          <w:color w:val="17324D"/>
        </w:rPr>
        <w:t xml:space="preserve">11.5  </w:t>
      </w:r>
      <w:r>
        <w:rPr>
          <w:rFonts w:ascii="Calibri" w:hAnsi="Calibri"/>
        </w:rPr>
        <w:t>Gebruikt de Klant een AI- of andere externe dienst via een account, contract of API-sleutel van de Verwerker, dan verzendt de Verwerker de door de Klant aangewezen gegevens op gedocumenteerde instructie van de Klant. De externe leverancier geldt voor die verwerking als Subverwerker, wordt vóór activering geregistreerd en geautoriseerd en de toepasselijke doorgiftevoorwaarden worden geregeld.</w:t>
      </w:r>
    </w:p>
    <w:p>
      <w:pPr>
        <w:pStyle w:val="Heading1"/>
        <w:keepNext/>
      </w:pPr>
      <w:r>
        <w:t>Artikel 12 - AI- en integratiediensten</w:t>
      </w:r>
    </w:p>
    <w:p>
      <w:pPr>
        <w:spacing w:after="120" w:line="264" w:lineRule="auto"/>
        <w:ind w:left="0" w:firstLine="0"/>
      </w:pPr>
      <w:r>
        <w:rPr>
          <w:rFonts w:ascii="Calibri" w:hAnsi="Calibri"/>
          <w:b/>
          <w:color w:val="17324D"/>
        </w:rPr>
        <w:t xml:space="preserve">12.1  </w:t>
      </w:r>
      <w:r>
        <w:rPr>
          <w:rFonts w:ascii="Calibri" w:hAnsi="Calibri"/>
        </w:rPr>
        <w:t>De Klant bepaalt welke AI- of integratiedienst wordt geactiveerd en welke gegevens, documenten, instructies en prompts worden verzonden. De Klant blijft verantwoordelijk voor rechtmatigheid, transparantie, gegevensminimalisatie, de gegeven instructies en het gebruik van de uitvoer.</w:t>
      </w:r>
    </w:p>
    <w:p>
      <w:pPr>
        <w:spacing w:after="120" w:line="264" w:lineRule="auto"/>
        <w:ind w:left="0" w:firstLine="0"/>
      </w:pPr>
      <w:r>
        <w:rPr>
          <w:rFonts w:ascii="Calibri" w:hAnsi="Calibri"/>
          <w:b/>
          <w:color w:val="17324D"/>
        </w:rPr>
        <w:t xml:space="preserve">12.2  </w:t>
      </w:r>
      <w:r>
        <w:rPr>
          <w:rFonts w:ascii="Calibri" w:hAnsi="Calibri"/>
        </w:rPr>
        <w:t>Bij een Brightness-account, -contract of -API-sleutel worden, waar leverancier en product dit aanbieden, instellingen gebruikt die invoer en uitvoer uitsluiten van algemene modeltraining en die bewaring minimaliseren. Leverancier, regio, bewaartermijn en relevante trainingsvoorwaarden worden vóór activering geregistreerd.</w:t>
      </w:r>
    </w:p>
    <w:p>
      <w:pPr>
        <w:spacing w:after="120" w:line="264" w:lineRule="auto"/>
        <w:ind w:left="0" w:firstLine="0"/>
      </w:pPr>
      <w:r>
        <w:rPr>
          <w:rFonts w:ascii="Calibri" w:hAnsi="Calibri"/>
          <w:b/>
          <w:color w:val="17324D"/>
        </w:rPr>
        <w:t xml:space="preserve">12.3  </w:t>
      </w:r>
      <w:r>
        <w:rPr>
          <w:rFonts w:ascii="Calibri" w:hAnsi="Calibri"/>
        </w:rPr>
        <w:t>Kan gebruik voor algemene modeltraining niet voldoende worden uitgesloten, dan wordt de leverancier niet standaard via een Brightness-account, -contract of -API-sleutel gebruikt zonder expliciete toestemming van de Klant.</w:t>
      </w:r>
    </w:p>
    <w:p>
      <w:pPr>
        <w:spacing w:after="120" w:line="264" w:lineRule="auto"/>
        <w:ind w:left="0" w:firstLine="0"/>
      </w:pPr>
      <w:r>
        <w:rPr>
          <w:rFonts w:ascii="Calibri" w:hAnsi="Calibri"/>
          <w:b/>
          <w:color w:val="17324D"/>
        </w:rPr>
        <w:t xml:space="preserve">12.4  </w:t>
      </w:r>
      <w:r>
        <w:rPr>
          <w:rFonts w:ascii="Calibri" w:hAnsi="Calibri"/>
        </w:rPr>
        <w:t>De Verwerker geeft geen garantie over juistheid, volledigheid of geschiktheid van door een externe AI-dienst gegenereerde uitvoer. Dit laat de eigen verplichtingen van de Verwerker voor selectie, instructie, beveiliging en Subverwerkers onverlet.</w:t>
      </w:r>
    </w:p>
    <w:p>
      <w:pPr>
        <w:spacing w:after="120" w:line="264" w:lineRule="auto"/>
        <w:ind w:left="0" w:firstLine="0"/>
      </w:pPr>
      <w:r>
        <w:rPr>
          <w:rFonts w:ascii="Calibri" w:hAnsi="Calibri"/>
          <w:b/>
          <w:color w:val="17324D"/>
        </w:rPr>
        <w:t xml:space="preserve">12.5  </w:t>
      </w:r>
      <w:r>
        <w:rPr>
          <w:rFonts w:ascii="Calibri" w:hAnsi="Calibri"/>
        </w:rPr>
        <w:t>Bij gebruik van een Brightness-account, -contract of -API-sleutel blijft de Verwerker tegenover de Klant verantwoordelijk voor de nakoming van de toepasselijke gegevensbeschermingsverplichtingen door haar Subverwerker overeenkomstig artikel 10.5 en artikel 28 lid 4 AVG. De keuze of instructie van de Klant verplaatst die dwingendrechtelijke verantwoordelijkheid niet naar de Klant.</w:t>
      </w:r>
    </w:p>
    <w:p>
      <w:pPr>
        <w:pStyle w:val="Heading1"/>
        <w:keepNext/>
      </w:pPr>
      <w:r>
        <w:t>Artikel 13 - Informatie en noodzakelijke audits</w:t>
      </w:r>
    </w:p>
    <w:p>
      <w:pPr>
        <w:spacing w:after="120" w:line="264" w:lineRule="auto"/>
        <w:ind w:left="0" w:firstLine="0"/>
      </w:pPr>
      <w:r>
        <w:rPr>
          <w:rFonts w:ascii="Calibri" w:hAnsi="Calibri"/>
          <w:b/>
          <w:color w:val="17324D"/>
        </w:rPr>
        <w:t xml:space="preserve">13.1  </w:t>
      </w:r>
      <w:r>
        <w:rPr>
          <w:rFonts w:ascii="Calibri" w:hAnsi="Calibri"/>
        </w:rPr>
        <w:t>De Verwerker stelt alle informatie beschikbaar die nodig is om naleving van artikel 28 AVG aan te tonen. De Klant beoordeelt eerst beschikbare documentatie, antwoorden, verklaringen en relevante informatie van leveranciers.</w:t>
      </w:r>
    </w:p>
    <w:p>
      <w:pPr>
        <w:spacing w:after="120" w:line="264" w:lineRule="auto"/>
        <w:ind w:left="0" w:firstLine="0"/>
      </w:pPr>
      <w:r>
        <w:rPr>
          <w:rFonts w:ascii="Calibri" w:hAnsi="Calibri"/>
          <w:b/>
          <w:color w:val="17324D"/>
        </w:rPr>
        <w:t xml:space="preserve">13.2  </w:t>
      </w:r>
      <w:r>
        <w:rPr>
          <w:rFonts w:ascii="Calibri" w:hAnsi="Calibri"/>
        </w:rPr>
        <w:t>Een aanvullende audit of inspectie vindt plaats wanneer dit redelijkerwijs noodzakelijk is, bijvoorbeeld op verzoek van een toezichthouder, na een ernstig incident, bij concrete aanwijzingen van niet-naleving of wanneer beschikbare informatie aantoonbaar onvoldoende is.</w:t>
      </w:r>
    </w:p>
    <w:p>
      <w:pPr>
        <w:spacing w:after="120" w:line="264" w:lineRule="auto"/>
        <w:ind w:left="0" w:firstLine="0"/>
      </w:pPr>
      <w:r>
        <w:rPr>
          <w:rFonts w:ascii="Calibri" w:hAnsi="Calibri"/>
          <w:b/>
          <w:color w:val="17324D"/>
        </w:rPr>
        <w:t xml:space="preserve">13.3  </w:t>
      </w:r>
      <w:r>
        <w:rPr>
          <w:rFonts w:ascii="Calibri" w:hAnsi="Calibri"/>
        </w:rPr>
        <w:t>De audit wordt vooraf afgestemd, tijdens kantooruren uitgevoerd door de Klant of een onafhankelijke deskundige onder geheimhouding en beperkt tot relevante systemen en processen. Zij mag beveiliging, bedrijfscontinuïteit, broncode, bedrijfsgeheimen en gegevens van andere klanten niet onnodig schaden.</w:t>
      </w:r>
    </w:p>
    <w:p>
      <w:pPr>
        <w:spacing w:after="120" w:line="264" w:lineRule="auto"/>
        <w:ind w:left="0" w:firstLine="0"/>
      </w:pPr>
      <w:r>
        <w:rPr>
          <w:rFonts w:ascii="Calibri" w:hAnsi="Calibri"/>
          <w:b/>
          <w:color w:val="17324D"/>
        </w:rPr>
        <w:t xml:space="preserve">13.4  </w:t>
      </w:r>
      <w:r>
        <w:rPr>
          <w:rFonts w:ascii="Calibri" w:hAnsi="Calibri"/>
        </w:rPr>
        <w:t>Redelijke kosten zijn voor de Klant, tenzij een wezenlijke tekortkoming van de Verwerker wordt vastgesteld. Kosten en voorwaarden mogen het wettelijke auditrecht niet feitelijk onmogelijk of onevenredig bezwarend maken. Urgente verzoeken van toezichthouders en incidentonderzoek worden niet door gewone aankondigingstermijnen belemmerd.</w:t>
      </w:r>
    </w:p>
    <w:p>
      <w:pPr>
        <w:pStyle w:val="Heading1"/>
        <w:keepNext/>
      </w:pPr>
      <w:r>
        <w:t>Artikel 14 - Teruggave, export en verwijdering</w:t>
      </w:r>
    </w:p>
    <w:p>
      <w:pPr>
        <w:spacing w:after="120" w:line="264" w:lineRule="auto"/>
        <w:ind w:left="0" w:firstLine="0"/>
      </w:pPr>
      <w:r>
        <w:rPr>
          <w:rFonts w:ascii="Calibri" w:hAnsi="Calibri"/>
          <w:b/>
          <w:color w:val="17324D"/>
        </w:rPr>
        <w:t xml:space="preserve">14.1  </w:t>
      </w:r>
      <w:r>
        <w:rPr>
          <w:rFonts w:ascii="Calibri" w:hAnsi="Calibri"/>
        </w:rPr>
        <w:t>Bij beëindiging kiest de Klant tussen teruggave/export en verwijdering van de persoonsgegevens. De keuze kan bij contractsluiting of uiterlijk vóór het einde schriftelijk worden gegeven en tot dat moment worden gewijzigd.</w:t>
      </w:r>
    </w:p>
    <w:p>
      <w:pPr>
        <w:spacing w:after="120" w:line="264" w:lineRule="auto"/>
        <w:ind w:left="0" w:firstLine="0"/>
      </w:pPr>
      <w:r>
        <w:rPr>
          <w:rFonts w:ascii="Calibri" w:hAnsi="Calibri"/>
          <w:b/>
          <w:color w:val="17324D"/>
        </w:rPr>
        <w:t xml:space="preserve">14.2  </w:t>
      </w:r>
      <w:r>
        <w:rPr>
          <w:rFonts w:ascii="Calibri" w:hAnsi="Calibri"/>
        </w:rPr>
        <w:t>Een standaard database-export of dump en beschikbare bestanden en documenten in een gangbaar formaat zijn inbegrepen. De export blijft standaard dertig kalenderdagen beschikbaar. Afgifte vindt alleen plaats aan een aantoonbaar bevoegde contactpersoon na passende autorisatiecontrole.</w:t>
      </w:r>
    </w:p>
    <w:p>
      <w:pPr>
        <w:spacing w:after="120" w:line="264" w:lineRule="auto"/>
        <w:ind w:left="0" w:firstLine="0"/>
      </w:pPr>
      <w:r>
        <w:rPr>
          <w:rFonts w:ascii="Calibri" w:hAnsi="Calibri"/>
          <w:b/>
          <w:color w:val="17324D"/>
        </w:rPr>
        <w:t xml:space="preserve">14.3  </w:t>
      </w:r>
      <w:r>
        <w:rPr>
          <w:rFonts w:ascii="Calibri" w:hAnsi="Calibri"/>
        </w:rPr>
        <w:t>Een afwijkend formaat, conversie, opschoning of migratiebegeleiding wordt vooraf geoffreerd. Interne software, broncode, systeembestanden, gegevens van andere klanten en afgeleide beveiligingsinformatie maken geen deel uit van de standaardexport.</w:t>
      </w:r>
    </w:p>
    <w:p>
      <w:pPr>
        <w:spacing w:after="120" w:line="264" w:lineRule="auto"/>
        <w:ind w:left="0" w:firstLine="0"/>
      </w:pPr>
      <w:r>
        <w:rPr>
          <w:rFonts w:ascii="Calibri" w:hAnsi="Calibri"/>
          <w:b/>
          <w:color w:val="17324D"/>
        </w:rPr>
        <w:t xml:space="preserve">14.4  </w:t>
      </w:r>
      <w:r>
        <w:rPr>
          <w:rFonts w:ascii="Calibri" w:hAnsi="Calibri"/>
        </w:rPr>
        <w:t>Na uitvoering van de keuze verwijdert de Verwerker actieve persoonsgegevens uiterlijk zestig dagen na beëindiging of eerder na schriftelijke bevestiging. Bestaande back-upkopieën verdwijnen uiterlijk negentig dagen na beëindiging door afloop van de back-upcyclus.</w:t>
      </w:r>
    </w:p>
    <w:p>
      <w:pPr>
        <w:spacing w:after="120" w:line="264" w:lineRule="auto"/>
        <w:ind w:left="0" w:firstLine="0"/>
      </w:pPr>
      <w:r>
        <w:rPr>
          <w:rFonts w:ascii="Calibri" w:hAnsi="Calibri"/>
          <w:b/>
          <w:color w:val="17324D"/>
        </w:rPr>
        <w:t xml:space="preserve">14.5  </w:t>
      </w:r>
      <w:r>
        <w:rPr>
          <w:rFonts w:ascii="Calibri" w:hAnsi="Calibri"/>
        </w:rPr>
        <w:t>Tijdens de resterende back-upperiode worden gegevens afgeschermd en alleen hersteld wanneer technisch noodzakelijk. Na herstel gelden opnieuw de verwijdertermijnen. De Verwerker bevestigt op verzoek dat de overeengekomen verwijdering is voltooid.</w:t>
      </w:r>
    </w:p>
    <w:p>
      <w:pPr>
        <w:spacing w:after="120" w:line="264" w:lineRule="auto"/>
        <w:ind w:left="0" w:firstLine="0"/>
      </w:pPr>
      <w:r>
        <w:rPr>
          <w:rFonts w:ascii="Calibri" w:hAnsi="Calibri"/>
          <w:b/>
          <w:color w:val="17324D"/>
        </w:rPr>
        <w:t xml:space="preserve">14.6  </w:t>
      </w:r>
      <w:r>
        <w:rPr>
          <w:rFonts w:ascii="Calibri" w:hAnsi="Calibri"/>
        </w:rPr>
        <w:t>Een wettelijke bewaarplicht vormt een uitzondering. De betreffende gegevens worden afgescheiden, uitsluitend voor dat doel gebruikt en verwijderd zodra de bewaarplicht eindigt.</w:t>
      </w:r>
    </w:p>
    <w:p>
      <w:pPr>
        <w:pStyle w:val="Heading1"/>
        <w:keepNext/>
      </w:pPr>
      <w:r>
        <w:t>Artikel 15 - Logbestanden en bewijs</w:t>
      </w:r>
    </w:p>
    <w:p>
      <w:pPr>
        <w:spacing w:after="120" w:line="264" w:lineRule="auto"/>
        <w:ind w:left="0" w:firstLine="0"/>
      </w:pPr>
      <w:r>
        <w:rPr>
          <w:rFonts w:ascii="Calibri" w:hAnsi="Calibri"/>
          <w:b/>
          <w:color w:val="17324D"/>
        </w:rPr>
        <w:t xml:space="preserve">15.1  </w:t>
      </w:r>
      <w:r>
        <w:rPr>
          <w:rFonts w:ascii="Calibri" w:hAnsi="Calibri"/>
        </w:rPr>
        <w:t>Klantgerichte audit- en gebruikerslogs worden bewaard volgens de instellingen, Offerte of SLA. Technische beveiligings-, toegangs- en incidentlogs van de Verwerker worden standaard maximaal twaalf maanden bewaard.</w:t>
      </w:r>
    </w:p>
    <w:p>
      <w:pPr>
        <w:spacing w:after="120" w:line="264" w:lineRule="auto"/>
        <w:ind w:left="0" w:firstLine="0"/>
      </w:pPr>
      <w:r>
        <w:rPr>
          <w:rFonts w:ascii="Calibri" w:hAnsi="Calibri"/>
          <w:b/>
          <w:color w:val="17324D"/>
        </w:rPr>
        <w:t xml:space="preserve">15.2  </w:t>
      </w:r>
      <w:r>
        <w:rPr>
          <w:rFonts w:ascii="Calibri" w:hAnsi="Calibri"/>
        </w:rPr>
        <w:t>Logs mogen langer worden bewaard zolang dit noodzakelijk is voor incidentonderzoek, een juridisch geschil of een wettelijke verplichting. Zij worden afgeschermd en niet voor commerciële profilering gebruikt en daarna verwijderd of onomkeerbaar geanonimiseerd.</w:t>
      </w:r>
    </w:p>
    <w:p>
      <w:pPr>
        <w:pStyle w:val="Heading1"/>
        <w:keepNext/>
      </w:pPr>
      <w:r>
        <w:t>Artikel 16 - Eigen verwerkingen van Brightness</w:t>
      </w:r>
    </w:p>
    <w:p>
      <w:pPr>
        <w:spacing w:after="120" w:line="264" w:lineRule="auto"/>
        <w:ind w:left="0" w:firstLine="0"/>
      </w:pPr>
      <w:r>
        <w:rPr>
          <w:rFonts w:ascii="Calibri" w:hAnsi="Calibri"/>
          <w:b/>
          <w:color w:val="17324D"/>
        </w:rPr>
        <w:t xml:space="preserve">16.1  </w:t>
      </w:r>
      <w:r>
        <w:rPr>
          <w:rFonts w:ascii="Calibri" w:hAnsi="Calibri"/>
        </w:rPr>
        <w:t>Iedere Brightness-entiteit is zelfstandig verwerkingsverantwoordelijke voor haar eigen contact-, offerte-, factuur-, debiteuren-, juridische en wettelijke administratie. Deze verwerking valt onder de toepasselijke privacyverklaring en niet onder deze verwerkersovereenkomst.</w:t>
      </w:r>
    </w:p>
    <w:p>
      <w:pPr>
        <w:spacing w:after="120" w:line="264" w:lineRule="auto"/>
        <w:ind w:left="0" w:firstLine="0"/>
      </w:pPr>
      <w:r>
        <w:rPr>
          <w:rFonts w:ascii="Calibri" w:hAnsi="Calibri"/>
          <w:b/>
          <w:color w:val="17324D"/>
        </w:rPr>
        <w:t xml:space="preserve">16.2  </w:t>
      </w:r>
      <w:r>
        <w:rPr>
          <w:rFonts w:ascii="Calibri" w:hAnsi="Calibri"/>
        </w:rPr>
        <w:t>Brightness mag eigen marketingmails sturen aan personen die daarvoor afzonderlijk en aantoonbaar toestemming hebben gegeven. Intrekking en afmelding zijn steeds mogelijk. Gegevens uit Klantdata worden niet automatisch voor eigen marketing gebruikt.</w:t>
      </w:r>
    </w:p>
    <w:p>
      <w:pPr>
        <w:spacing w:after="120" w:line="264" w:lineRule="auto"/>
        <w:ind w:left="0" w:firstLine="0"/>
      </w:pPr>
      <w:r>
        <w:rPr>
          <w:rFonts w:ascii="Calibri" w:hAnsi="Calibri"/>
          <w:b/>
          <w:color w:val="17324D"/>
        </w:rPr>
        <w:t xml:space="preserve">16.3  </w:t>
      </w:r>
      <w:r>
        <w:rPr>
          <w:rFonts w:ascii="Calibri" w:hAnsi="Calibri"/>
        </w:rPr>
        <w:t>Wanneer de Klant via de Dienst eigen nieuwsbrieven of marketingberichten verstuurt, is de Klant verantwoordelijk voor ontvangers, grondslag, inhoud en afmeldingen en handelt de aangewezen Brightness-entiteit uitsluitend als Verwerker voor de technische uitvoering.</w:t>
      </w:r>
    </w:p>
    <w:p>
      <w:pPr>
        <w:pStyle w:val="Heading1"/>
        <w:keepNext/>
      </w:pPr>
      <w:r>
        <w:t>Artikel 17 - Aansprakelijkheid en groepsscheiding</w:t>
      </w:r>
    </w:p>
    <w:p>
      <w:pPr>
        <w:spacing w:after="120" w:line="264" w:lineRule="auto"/>
        <w:ind w:left="0" w:firstLine="0"/>
      </w:pPr>
      <w:r>
        <w:rPr>
          <w:rFonts w:ascii="Calibri" w:hAnsi="Calibri"/>
          <w:b/>
          <w:color w:val="17324D"/>
        </w:rPr>
        <w:t xml:space="preserve">17.1  </w:t>
      </w:r>
      <w:r>
        <w:rPr>
          <w:rFonts w:ascii="Calibri" w:hAnsi="Calibri"/>
        </w:rPr>
        <w:t>Alleen de in de Offerte of Verwerkingsbijlage aangewezen Brightness-entiteit is contractpartij voor haar eigen scope. Een andere groepsmaatschappij is niet hoofdelijk aansprakelijk, medecontractant of garantsteller, tenzij zij zelf uitdrukkelijk is aangewezen of dwingend recht anders bepaalt.</w:t>
      </w:r>
    </w:p>
    <w:p>
      <w:pPr>
        <w:spacing w:after="120" w:line="264" w:lineRule="auto"/>
        <w:ind w:left="0" w:firstLine="0"/>
      </w:pPr>
      <w:r>
        <w:rPr>
          <w:rFonts w:ascii="Calibri" w:hAnsi="Calibri"/>
          <w:b/>
          <w:color w:val="17324D"/>
        </w:rPr>
        <w:t xml:space="preserve">17.2  </w:t>
      </w:r>
      <w:r>
        <w:rPr>
          <w:rFonts w:ascii="Calibri" w:hAnsi="Calibri"/>
        </w:rPr>
        <w:t>De groepsscheiding beperkt niet de verantwoordelijkheid van een Verwerker tegenover de Klant voor een door haar ingeschakelde Subverwerker en beperkt geen wettelijke rechten van betrokkenen of bevoegdheden van toezichthouders.</w:t>
      </w:r>
    </w:p>
    <w:p>
      <w:pPr>
        <w:spacing w:after="120" w:line="264" w:lineRule="auto"/>
        <w:ind w:left="0" w:firstLine="0"/>
      </w:pPr>
      <w:r>
        <w:rPr>
          <w:rFonts w:ascii="Calibri" w:hAnsi="Calibri"/>
          <w:b/>
          <w:color w:val="17324D"/>
        </w:rPr>
        <w:t xml:space="preserve">17.3  </w:t>
      </w:r>
      <w:r>
        <w:rPr>
          <w:rFonts w:ascii="Calibri" w:hAnsi="Calibri"/>
        </w:rPr>
        <w:t>De aansprakelijkheidsregeling van de hoofdovereenkomst geldt ook voor deze overeenkomst, voor zover de AVG of ander dwingend recht niet anders bepaalt.</w:t>
      </w:r>
    </w:p>
    <w:p>
      <w:pPr>
        <w:pStyle w:val="Heading1"/>
        <w:keepNext/>
      </w:pPr>
      <w:r>
        <w:t>Artikel 18 - Rangorde, wijzigingen en slot</w:t>
      </w:r>
    </w:p>
    <w:p>
      <w:pPr>
        <w:spacing w:after="120" w:line="264" w:lineRule="auto"/>
        <w:ind w:left="0" w:firstLine="0"/>
      </w:pPr>
      <w:r>
        <w:rPr>
          <w:rFonts w:ascii="Calibri" w:hAnsi="Calibri"/>
          <w:b/>
          <w:color w:val="17324D"/>
        </w:rPr>
        <w:t xml:space="preserve">18.1  </w:t>
      </w:r>
      <w:r>
        <w:rPr>
          <w:rFonts w:ascii="Calibri" w:hAnsi="Calibri"/>
        </w:rPr>
        <w:t>Een specifiek ingevulde Verwerkingsbijlage gaat voor op dit model voor de daarin uitdrukkelijk ingevulde verwerkingsdetails, mits de wettelijke bescherming niet wordt verminderd. Voor overige gegevensbeschermingsonderwerpen gaat deze overeenkomst voor op de algemene voorwaarden en hoofdovereenkomst. Een schriftelijk overeengekomen hoger beveiligingsniveau gaat voor op de standaard Beveiligingsbijlage.</w:t>
      </w:r>
    </w:p>
    <w:p>
      <w:pPr>
        <w:spacing w:after="120" w:line="264" w:lineRule="auto"/>
        <w:ind w:left="0" w:firstLine="0"/>
      </w:pPr>
      <w:r>
        <w:rPr>
          <w:rFonts w:ascii="Calibri" w:hAnsi="Calibri"/>
          <w:b/>
          <w:color w:val="17324D"/>
        </w:rPr>
        <w:t xml:space="preserve">18.2  </w:t>
      </w:r>
      <w:r>
        <w:rPr>
          <w:rFonts w:ascii="Calibri" w:hAnsi="Calibri"/>
        </w:rPr>
        <w:t>De Offerte noemt de toepasselijke titel, versie, datum en vindplaats. Publicatie van een nieuwe versie wijzigt een bestaande overeenkomst niet automatisch. Inhoudelijke wijzigingen worden vooraf gemeld en vereisen instemming wanneer de aard van de wijziging of de bestaande overeenkomst dit verlangt. De wijzigingsprocedure voor Subverwerkers staat in artikel 10.</w:t>
      </w:r>
    </w:p>
    <w:p>
      <w:pPr>
        <w:spacing w:after="120" w:line="264" w:lineRule="auto"/>
        <w:ind w:left="0" w:firstLine="0"/>
      </w:pPr>
      <w:r>
        <w:rPr>
          <w:rFonts w:ascii="Calibri" w:hAnsi="Calibri"/>
          <w:b/>
          <w:color w:val="17324D"/>
        </w:rPr>
        <w:t xml:space="preserve">18.3  </w:t>
      </w:r>
      <w:r>
        <w:rPr>
          <w:rFonts w:ascii="Calibri" w:hAnsi="Calibri"/>
        </w:rPr>
        <w:t>Op deze overeenkomst zijn het recht en forum van de hoofdovereenkomst van toepassing. Ontbreekt daarin een regeling, dan geldt Nederlands recht en is de bevoegde rechter van de rechtbank Noord-Holland bevoegd, zonder beperking van rechten van betrokkenen of bevoegdheden van toezichthouders.</w:t>
      </w:r>
    </w:p>
    <w:p>
      <w:pPr>
        <w:spacing w:after="120" w:line="264" w:lineRule="auto"/>
        <w:ind w:left="0" w:firstLine="0"/>
      </w:pPr>
      <w:r>
        <w:rPr>
          <w:rFonts w:ascii="Calibri" w:hAnsi="Calibri"/>
          <w:b/>
          <w:color w:val="17324D"/>
        </w:rPr>
        <w:t xml:space="preserve">18.4  </w:t>
      </w:r>
      <w:r>
        <w:rPr>
          <w:rFonts w:ascii="Calibri" w:hAnsi="Calibri"/>
        </w:rPr>
        <w:t>Nietigheid of vernietigbaarheid van een bepaling tast de overige bepalingen niet aan. Partijen vervangen de betreffende bepaling door een geldige bepaling die doel en beschermingsniveau zo dicht mogelijk benadert.</w:t>
      </w:r>
    </w:p>
    <w:p>
      <w:pPr>
        <w:pStyle w:val="Heading1"/>
        <w:keepNext/>
      </w:pPr>
      <w:r>
        <w:t>Contractbijlagen</w:t>
      </w:r>
    </w:p>
    <w:p>
      <w:pPr>
        <w:pStyle w:val="ListBullet"/>
        <w:spacing w:after="80"/>
        <w:ind w:left="720" w:hanging="360"/>
      </w:pPr>
      <w:r>
        <w:rPr>
          <w:rFonts w:ascii="Calibri" w:hAnsi="Calibri"/>
        </w:rPr>
        <w:t>Verwerkingsbijlage Klant/Offerte Brightness, ingevuld voor de betreffende opdracht;</w:t>
      </w:r>
    </w:p>
    <w:p>
      <w:pPr>
        <w:pStyle w:val="ListBullet"/>
        <w:spacing w:after="80"/>
        <w:ind w:left="720" w:hanging="360"/>
      </w:pPr>
      <w:r>
        <w:rPr>
          <w:rFonts w:ascii="Calibri" w:hAnsi="Calibri"/>
        </w:rPr>
        <w:t>Beveiligingsbijlage Brightness, in de aangewezen versie;</w:t>
      </w:r>
    </w:p>
    <w:p>
      <w:pPr>
        <w:pStyle w:val="ListBullet"/>
        <w:spacing w:after="80"/>
        <w:ind w:left="720" w:hanging="360"/>
      </w:pPr>
      <w:r>
        <w:rPr>
          <w:rFonts w:ascii="Calibri" w:hAnsi="Calibri"/>
        </w:rPr>
        <w:t>Subverwerkersregister Brightness, in de geautoriseerde versie;</w:t>
      </w:r>
    </w:p>
    <w:p>
      <w:pPr>
        <w:pStyle w:val="ListBullet"/>
        <w:spacing w:after="80"/>
        <w:ind w:left="720" w:hanging="360"/>
      </w:pPr>
      <w:r>
        <w:rPr>
          <w:rFonts w:ascii="Calibri" w:hAnsi="Calibri"/>
        </w:rPr>
        <w:t>eventuele klantspecifieke SLA- of beveiligingsafspraken in de Offerte.</w:t>
      </w:r>
    </w:p>
    <w:p>
      <w:pPr>
        <w:pStyle w:val="Heading1"/>
        <w:keepNext/>
      </w:pPr>
      <w:r>
        <w:t>Ondertekening</w:t>
      </w:r>
    </w:p>
    <w:p>
      <w:pPr>
        <w:keepLines w:val="0"/>
        <w:spacing w:after="120"/>
      </w:pPr>
      <w:r>
        <w:rPr>
          <w:rFonts w:ascii="Calibri" w:hAnsi="Calibri"/>
          <w:i w:val="0"/>
        </w:rPr>
        <w:t>Deze overeenkomst mag elektronisch worden aanvaard. Een afzonderlijke handtekening is niet vereist wanneer de Offerte deze overeenkomst met titel, versie en datum rechtsgeldig van toepassing verklaart.</w:t>
      </w:r>
    </w:p>
    <w:tbl>
      <w:tblPr>
        <w:tblStyle w:val="TableGrid"/>
        <w:tblW w:type="dxa" w:w="9411"/>
        <w:jc w:val="left"/>
        <w:tblLayout w:type="fixed"/>
        <w:tblLook w:firstColumn="1" w:firstRow="1" w:lastColumn="0" w:lastRow="0" w:noHBand="0" w:noVBand="1" w:val="04A0"/>
        <w:tblInd w:w="120" w:type="dxa"/>
      </w:tblPr>
      <w:tblGrid>
        <w:gridCol w:w="2600"/>
        <w:gridCol w:w="2800"/>
        <w:gridCol w:w="1500"/>
        <w:gridCol w:w="2511"/>
      </w:tblGrid>
      <w:tr>
        <w:trPr>
          <w:tblHeader w:val="true"/>
        </w:trPr>
        <w:tc>
          <w:tcPr>
            <w:tcW w:type="dxa" w:w="2600"/>
            <w:shd w:fill="17324D"/>
            <w:tcMar>
              <w:top w:w="90" w:type="dxa"/>
              <w:start w:w="120" w:type="dxa"/>
              <w:bottom w:w="90" w:type="dxa"/>
              <w:end w:w="120" w:type="dxa"/>
            </w:tcMar>
            <w:vAlign w:val="center"/>
          </w:tcPr>
          <w:p>
            <w:pPr>
              <w:spacing w:after="0"/>
            </w:pPr>
            <w:r>
              <w:rPr>
                <w:rFonts w:ascii="Calibri" w:hAnsi="Calibri"/>
                <w:b/>
                <w:color w:val="FFFFFF"/>
                <w:sz w:val="17"/>
              </w:rPr>
              <w:t>Partij</w:t>
            </w:r>
          </w:p>
        </w:tc>
        <w:tc>
          <w:tcPr>
            <w:tcW w:type="dxa" w:w="2800"/>
            <w:shd w:fill="17324D"/>
            <w:tcMar>
              <w:top w:w="90" w:type="dxa"/>
              <w:start w:w="120" w:type="dxa"/>
              <w:bottom w:w="90" w:type="dxa"/>
              <w:end w:w="120" w:type="dxa"/>
            </w:tcMar>
            <w:vAlign w:val="center"/>
          </w:tcPr>
          <w:p>
            <w:pPr>
              <w:spacing w:after="0"/>
            </w:pPr>
            <w:r>
              <w:rPr>
                <w:rFonts w:ascii="Calibri" w:hAnsi="Calibri"/>
                <w:b/>
                <w:color w:val="FFFFFF"/>
                <w:sz w:val="17"/>
              </w:rPr>
              <w:t>Naam en functie</w:t>
            </w:r>
          </w:p>
        </w:tc>
        <w:tc>
          <w:tcPr>
            <w:tcW w:type="dxa" w:w="1500"/>
            <w:shd w:fill="17324D"/>
            <w:tcMar>
              <w:top w:w="90" w:type="dxa"/>
              <w:start w:w="120" w:type="dxa"/>
              <w:bottom w:w="90" w:type="dxa"/>
              <w:end w:w="120" w:type="dxa"/>
            </w:tcMar>
            <w:vAlign w:val="center"/>
          </w:tcPr>
          <w:p>
            <w:pPr>
              <w:spacing w:after="0"/>
            </w:pPr>
            <w:r>
              <w:rPr>
                <w:rFonts w:ascii="Calibri" w:hAnsi="Calibri"/>
                <w:b/>
                <w:color w:val="FFFFFF"/>
                <w:sz w:val="17"/>
              </w:rPr>
              <w:t>Datum</w:t>
            </w:r>
          </w:p>
        </w:tc>
        <w:tc>
          <w:tcPr>
            <w:tcW w:type="dxa" w:w="2511"/>
            <w:shd w:fill="17324D"/>
            <w:tcMar>
              <w:top w:w="90" w:type="dxa"/>
              <w:start w:w="120" w:type="dxa"/>
              <w:bottom w:w="90" w:type="dxa"/>
              <w:end w:w="120" w:type="dxa"/>
            </w:tcMar>
            <w:vAlign w:val="center"/>
          </w:tcPr>
          <w:p>
            <w:pPr>
              <w:spacing w:after="0"/>
            </w:pPr>
            <w:r>
              <w:rPr>
                <w:rFonts w:ascii="Calibri" w:hAnsi="Calibri"/>
                <w:b/>
                <w:color w:val="FFFFFF"/>
                <w:sz w:val="17"/>
              </w:rPr>
              <w:t>Handtekening</w:t>
            </w:r>
          </w:p>
        </w:tc>
      </w:tr>
      <w:tr>
        <w:tc>
          <w:tcPr>
            <w:tcW w:type="dxa" w:w="2600"/>
            <w:tcMar>
              <w:top w:w="90" w:type="dxa"/>
              <w:start w:w="120" w:type="dxa"/>
              <w:bottom w:w="90" w:type="dxa"/>
              <w:end w:w="120" w:type="dxa"/>
            </w:tcMar>
            <w:vAlign w:val="center"/>
          </w:tcPr>
          <w:p>
            <w:pPr>
              <w:spacing w:after="0"/>
            </w:pPr>
            <w:r>
              <w:rPr>
                <w:rFonts w:ascii="Calibri" w:hAnsi="Calibri"/>
                <w:color w:val="111827"/>
                <w:sz w:val="17"/>
              </w:rPr>
              <w:t>Verwerkingsverantwoordelijke / Klant</w:t>
            </w:r>
          </w:p>
        </w:tc>
        <w:tc>
          <w:tcPr>
            <w:tcW w:type="dxa" w:w="2800"/>
            <w:tcMar>
              <w:top w:w="90" w:type="dxa"/>
              <w:start w:w="120" w:type="dxa"/>
              <w:bottom w:w="90" w:type="dxa"/>
              <w:end w:w="120" w:type="dxa"/>
            </w:tcMar>
            <w:vAlign w:val="center"/>
          </w:tcPr>
          <w:p>
            <w:pPr>
              <w:spacing w:after="0"/>
            </w:pPr>
            <w:r>
              <w:rPr>
                <w:rFonts w:ascii="Calibri" w:hAnsi="Calibri"/>
                <w:color w:val="111827"/>
                <w:sz w:val="17"/>
              </w:rPr>
            </w:r>
          </w:p>
        </w:tc>
        <w:tc>
          <w:tcPr>
            <w:tcW w:type="dxa" w:w="1500"/>
            <w:tcMar>
              <w:top w:w="90" w:type="dxa"/>
              <w:start w:w="120" w:type="dxa"/>
              <w:bottom w:w="90" w:type="dxa"/>
              <w:end w:w="120" w:type="dxa"/>
            </w:tcMar>
            <w:vAlign w:val="center"/>
          </w:tcPr>
          <w:p>
            <w:pPr>
              <w:spacing w:after="0"/>
            </w:pPr>
            <w:r>
              <w:rPr>
                <w:rFonts w:ascii="Calibri" w:hAnsi="Calibri"/>
                <w:color w:val="111827"/>
                <w:sz w:val="17"/>
              </w:rPr>
            </w:r>
          </w:p>
        </w:tc>
        <w:tc>
          <w:tcPr>
            <w:tcW w:type="dxa" w:w="2511"/>
            <w:tcMar>
              <w:top w:w="90" w:type="dxa"/>
              <w:start w:w="120" w:type="dxa"/>
              <w:bottom w:w="90" w:type="dxa"/>
              <w:end w:w="120" w:type="dxa"/>
            </w:tcMar>
            <w:vAlign w:val="center"/>
          </w:tcPr>
          <w:p>
            <w:pPr>
              <w:spacing w:after="0"/>
            </w:pPr>
            <w:r>
              <w:rPr>
                <w:rFonts w:ascii="Calibri" w:hAnsi="Calibri"/>
                <w:color w:val="111827"/>
                <w:sz w:val="17"/>
              </w:rPr>
              <w:br/>
              <w:br/>
            </w:r>
          </w:p>
        </w:tc>
      </w:tr>
      <w:tr>
        <w:tc>
          <w:tcPr>
            <w:tcW w:type="dxa" w:w="2600"/>
            <w:tcMar>
              <w:top w:w="90" w:type="dxa"/>
              <w:start w:w="120" w:type="dxa"/>
              <w:bottom w:w="90" w:type="dxa"/>
              <w:end w:w="120" w:type="dxa"/>
            </w:tcMar>
            <w:vAlign w:val="center"/>
          </w:tcPr>
          <w:p>
            <w:pPr>
              <w:spacing w:after="0"/>
            </w:pPr>
            <w:r>
              <w:rPr>
                <w:rFonts w:ascii="Calibri" w:hAnsi="Calibri"/>
                <w:color w:val="111827"/>
                <w:sz w:val="17"/>
              </w:rPr>
              <w:t>Aangewezen Brightness-verwerker</w:t>
            </w:r>
          </w:p>
        </w:tc>
        <w:tc>
          <w:tcPr>
            <w:tcW w:type="dxa" w:w="2800"/>
            <w:tcMar>
              <w:top w:w="90" w:type="dxa"/>
              <w:start w:w="120" w:type="dxa"/>
              <w:bottom w:w="90" w:type="dxa"/>
              <w:end w:w="120" w:type="dxa"/>
            </w:tcMar>
            <w:vAlign w:val="center"/>
          </w:tcPr>
          <w:p>
            <w:pPr>
              <w:spacing w:after="0"/>
            </w:pPr>
            <w:r>
              <w:rPr>
                <w:rFonts w:ascii="Calibri" w:hAnsi="Calibri"/>
                <w:color w:val="111827"/>
                <w:sz w:val="17"/>
              </w:rPr>
            </w:r>
          </w:p>
        </w:tc>
        <w:tc>
          <w:tcPr>
            <w:tcW w:type="dxa" w:w="1500"/>
            <w:tcMar>
              <w:top w:w="90" w:type="dxa"/>
              <w:start w:w="120" w:type="dxa"/>
              <w:bottom w:w="90" w:type="dxa"/>
              <w:end w:w="120" w:type="dxa"/>
            </w:tcMar>
            <w:vAlign w:val="center"/>
          </w:tcPr>
          <w:p>
            <w:pPr>
              <w:spacing w:after="0"/>
            </w:pPr>
            <w:r>
              <w:rPr>
                <w:rFonts w:ascii="Calibri" w:hAnsi="Calibri"/>
                <w:color w:val="111827"/>
                <w:sz w:val="17"/>
              </w:rPr>
            </w:r>
          </w:p>
        </w:tc>
        <w:tc>
          <w:tcPr>
            <w:tcW w:type="dxa" w:w="2511"/>
            <w:tcMar>
              <w:top w:w="90" w:type="dxa"/>
              <w:start w:w="120" w:type="dxa"/>
              <w:bottom w:w="90" w:type="dxa"/>
              <w:end w:w="120" w:type="dxa"/>
            </w:tcMar>
            <w:vAlign w:val="center"/>
          </w:tcPr>
          <w:p>
            <w:pPr>
              <w:spacing w:after="0"/>
            </w:pPr>
            <w:r>
              <w:rPr>
                <w:rFonts w:ascii="Calibri" w:hAnsi="Calibri"/>
                <w:color w:val="111827"/>
                <w:sz w:val="17"/>
              </w:rPr>
              <w:br/>
              <w:br/>
            </w:r>
          </w:p>
        </w:tc>
      </w:tr>
      <w:tr>
        <w:tc>
          <w:tcPr>
            <w:tcW w:type="dxa" w:w="2600"/>
            <w:tcMar>
              <w:top w:w="90" w:type="dxa"/>
              <w:start w:w="120" w:type="dxa"/>
              <w:bottom w:w="90" w:type="dxa"/>
              <w:end w:w="120" w:type="dxa"/>
            </w:tcMar>
            <w:vAlign w:val="center"/>
          </w:tcPr>
          <w:p>
            <w:pPr>
              <w:spacing w:after="0"/>
            </w:pPr>
            <w:r>
              <w:rPr>
                <w:rFonts w:ascii="Calibri" w:hAnsi="Calibri"/>
                <w:color w:val="111827"/>
                <w:sz w:val="17"/>
              </w:rPr>
              <w:t>Eventuele tweede Brightness-verwerker</w:t>
            </w:r>
          </w:p>
        </w:tc>
        <w:tc>
          <w:tcPr>
            <w:tcW w:type="dxa" w:w="2800"/>
            <w:tcMar>
              <w:top w:w="90" w:type="dxa"/>
              <w:start w:w="120" w:type="dxa"/>
              <w:bottom w:w="90" w:type="dxa"/>
              <w:end w:w="120" w:type="dxa"/>
            </w:tcMar>
            <w:vAlign w:val="center"/>
          </w:tcPr>
          <w:p>
            <w:pPr>
              <w:spacing w:after="0"/>
            </w:pPr>
            <w:r>
              <w:rPr>
                <w:rFonts w:ascii="Calibri" w:hAnsi="Calibri"/>
                <w:color w:val="111827"/>
                <w:sz w:val="17"/>
              </w:rPr>
            </w:r>
          </w:p>
        </w:tc>
        <w:tc>
          <w:tcPr>
            <w:tcW w:type="dxa" w:w="1500"/>
            <w:tcMar>
              <w:top w:w="90" w:type="dxa"/>
              <w:start w:w="120" w:type="dxa"/>
              <w:bottom w:w="90" w:type="dxa"/>
              <w:end w:w="120" w:type="dxa"/>
            </w:tcMar>
            <w:vAlign w:val="center"/>
          </w:tcPr>
          <w:p>
            <w:pPr>
              <w:spacing w:after="0"/>
            </w:pPr>
            <w:r>
              <w:rPr>
                <w:rFonts w:ascii="Calibri" w:hAnsi="Calibri"/>
                <w:color w:val="111827"/>
                <w:sz w:val="17"/>
              </w:rPr>
            </w:r>
          </w:p>
        </w:tc>
        <w:tc>
          <w:tcPr>
            <w:tcW w:type="dxa" w:w="2511"/>
            <w:tcMar>
              <w:top w:w="90" w:type="dxa"/>
              <w:start w:w="120" w:type="dxa"/>
              <w:bottom w:w="90" w:type="dxa"/>
              <w:end w:w="120" w:type="dxa"/>
            </w:tcMar>
            <w:vAlign w:val="center"/>
          </w:tcPr>
          <w:p>
            <w:pPr>
              <w:spacing w:after="0"/>
            </w:pPr>
            <w:r>
              <w:rPr>
                <w:rFonts w:ascii="Calibri" w:hAnsi="Calibri"/>
                <w:color w:val="111827"/>
                <w:sz w:val="17"/>
              </w:rPr>
              <w:br/>
              <w:br/>
            </w:r>
          </w:p>
        </w:tc>
      </w:tr>
    </w:tbl>
    <w:p>
      <w:pPr>
        <w:spacing w:after="0"/>
      </w:pPr>
    </w:p>
    <w:sectPr w:rsidR="00FC693F" w:rsidRPr="0006063C" w:rsidSect="00034616">
      <w:headerReference w:type="default" r:id="rId9"/>
      <w:footerReference w:type="default" r:id="rId10"/>
      <w:pgSz w:w="11906" w:h="16838"/>
      <w:pgMar w:top="1247" w:right="1247" w:bottom="1247" w:left="124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40"/>
      <w:jc w:val="right"/>
    </w:pPr>
    <w:r>
      <w:rPr>
        <w:rFonts w:ascii="Calibri" w:hAnsi="Calibri"/>
        <w:color w:val="4B5563"/>
        <w:sz w:val="17"/>
      </w:rPr>
      <w:t xml:space="preserve">Verwerkersovereenkomst Brightness  |  v2.0  |  pagina </w:t>
    </w:r>
    <w:r>
      <w:rPr>
        <w:rFonts w:ascii="Calibri" w:hAnsi="Calibri"/>
        <w:color w:val="4B5563"/>
        <w:sz w:val="17"/>
      </w:rPr>
      <w:fldChar w:fldCharType="begin"/>
      <w:instrText xml:space="preserve">PAGE</w:instrText>
      <w:fldChar w:fldCharType="end"/>
    </w:r>
    <w:r>
      <w:rPr>
        <w:rFonts w:ascii="Calibri" w:hAnsi="Calibri"/>
        <w:color w:val="4B5563"/>
        <w:sz w:val="17"/>
      </w:rPr>
      <w:t xml:space="preserve"> van </w:t>
    </w:r>
    <w:r>
      <w:rPr>
        <w:rFonts w:ascii="Calibri" w:hAnsi="Calibri"/>
        <w:color w:val="4B5563"/>
        <w:sz w:val="17"/>
      </w:rPr>
      <w:fldChar w:fldCharType="begin"/>
      <w:instrText xml:space="preserve">NUMPAGES</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Bdr>
        <w:bottom w:val="single" w:sz="6" w:space="4" w:color="D9E1E7"/>
      </w:pBdr>
    </w:pPr>
    <w:r>
      <w:rPr>
        <w:rFonts w:ascii="Calibri" w:hAnsi="Calibri"/>
        <w:b/>
        <w:color w:val="176B87"/>
        <w:sz w:val="17"/>
      </w:rPr>
      <w:t>BRIGHTNESS  |  GEGEVENSBESCHERMING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1182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17324D"/>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176B87"/>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7324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64" w:lineRule="auto"/>
      <w:ind w:left="720" w:hanging="360"/>
      <w:contextualSpacing/>
    </w:pPr>
    <w:rPr>
      <w:rFonts w:ascii="Calibri" w:hAnsi="Calibri"/>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64" w:lineRule="auto"/>
      <w:ind w:left="720" w:hanging="360"/>
      <w:contextualSpacing/>
    </w:pPr>
    <w:rPr>
      <w:rFonts w:ascii="Calibri" w:hAnsi="Calibri"/>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 Brightness</dc:title>
  <dc:subject>AVG-verwerkersdocumentatie Brightness</dc:subject>
  <dc:creator>Brightness Group</dc:creator>
  <cp:keywords>AVG, verwerkersovereenkomst, Brightness, persoonsgegevens</cp:keywords>
  <dc:description>Definitief model v2.0</dc:description>
  <cp:lastModifiedBy>Brightness Group</cp:lastModifiedBy>
  <cp:revision>1</cp:revision>
  <dcterms:created xsi:type="dcterms:W3CDTF">2013-12-23T23:15:00Z</dcterms:created>
  <dcterms:modified xsi:type="dcterms:W3CDTF">2013-12-23T23:15:00Z</dcterms:modified>
  <cp:category/>
</cp:coreProperties>
</file>