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00A6C8"/>
          <w:sz w:val="18"/>
        </w:rPr>
        <w:t>TRANSPARANTIE EN AUTORISATIE</w:t>
      </w:r>
    </w:p>
    <w:p>
      <w:pPr>
        <w:spacing w:after="100"/>
      </w:pPr>
      <w:r>
        <w:rPr>
          <w:rFonts w:ascii="Calibri" w:hAnsi="Calibri"/>
          <w:b/>
          <w:color w:val="17324D"/>
          <w:sz w:val="50"/>
        </w:rPr>
        <w:t>Subverwerkersregister Brightness</w:t>
      </w:r>
    </w:p>
    <w:p>
      <w:pPr>
        <w:spacing w:after="320"/>
      </w:pPr>
      <w:r>
        <w:rPr>
          <w:rFonts w:ascii="Calibri" w:hAnsi="Calibri"/>
          <w:color w:val="4B5563"/>
          <w:sz w:val="25"/>
        </w:rPr>
        <w:t>Actieve, voorwaardelijke en klantgestuurde verwerkingsketens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311"/>
      </w:tblGrid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Versie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2.0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Datum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26 augustus 2026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Contact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support@brightness-group.com | +31 23 557 4211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Status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Universeel model - klant- en opdrachtgegevens via offerte of verwerkingsbijlage</w:t>
            </w:r>
          </w:p>
        </w:tc>
      </w:tr>
      <w:t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>Wijzigingsmelding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9"/>
              </w:rPr>
              <w:t>Actieve kennisgeving minimaal 30 dagen vóór voorgenomen wijziging</w:t>
            </w:r>
          </w:p>
        </w:tc>
      </w:tr>
    </w:tbl>
    <w:p>
      <w:pPr>
        <w:spacing w:after="0"/>
      </w:pP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411"/>
      </w:tblGrid>
      <w:tr>
        <w:tc>
          <w:tcPr>
            <w:tcW w:type="dxa" w:w="94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4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 xml:space="preserve">Gebruik: </w:t>
            </w:r>
            <w:r>
              <w:rPr>
                <w:rFonts w:ascii="Calibri" w:hAnsi="Calibri"/>
                <w:color w:val="111827"/>
                <w:sz w:val="19"/>
              </w:rPr>
              <w:t>De Offerte of Verwerkingsbijlage bepaalt welke Brightness-entiteit en welke onderdelen van dit register voor een Klant gelden. Een vermelde technische mogelijkheid is niet automatisch geactiveerd.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Entiteitsmatrix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3000"/>
        <w:gridCol w:w="3711"/>
      </w:tblGrid>
      <w:tr>
        <w:trPr>
          <w:tblHeader w:val="true"/>
        </w:trPr>
        <w:tc>
          <w:tcPr>
            <w:tcW w:type="dxa" w:w="27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Contracterende Verwerker</w:t>
            </w:r>
          </w:p>
        </w:tc>
        <w:tc>
          <w:tcPr>
            <w:tcW w:type="dxa" w:w="30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Mogelijke Subverwerker</w:t>
            </w:r>
          </w:p>
        </w:tc>
        <w:tc>
          <w:tcPr>
            <w:tcW w:type="dxa" w:w="37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Toepassing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Brightness Subscriptions B.V.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Worldstream B.V.</w:t>
            </w:r>
          </w:p>
        </w:tc>
        <w:tc>
          <w:tcPr>
            <w:tcW w:type="dxa" w:w="3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Nederlandse datacenter- en infrastructuurdienst voor serveromgeving en versleutelde opslag; geen reguliere inhoudelijke toegang.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Brightness Subscriptions B.V.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AI-/integratieleverancier via Brightness-account, -contract of -API-sleutel</w:t>
            </w:r>
          </w:p>
        </w:tc>
        <w:tc>
          <w:tcPr>
            <w:tcW w:type="dxa" w:w="3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Alleen na activering, exacte registratie en toepasselijke autorisatie. Geen India-entiteiten.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Brightness ICT B.V.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Brightness India B.V.</w:t>
            </w:r>
          </w:p>
        </w:tc>
        <w:tc>
          <w:tcPr>
            <w:tcW w:type="dxa" w:w="3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Alleen voor schriftelijk geautoriseerde ontwikkelwerkzaamheden vanuit India.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Brightness India B.V.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Brightness Software Development (I) Private Limited</w:t>
            </w:r>
          </w:p>
        </w:tc>
        <w:tc>
          <w:tcPr>
            <w:tcW w:type="dxa" w:w="3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Standaard uitvoerende partij voor eigen ontwikkelopdrachten en als achterliggende Subverwerker in de ICT-keten, steeds na vereiste autorisatie.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Iedere aangewezen Verwerker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Externe supportpartij</w:t>
            </w:r>
          </w:p>
        </w:tc>
        <w:tc>
          <w:tcPr>
            <w:tcW w:type="dxa" w:w="3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6"/>
              </w:rPr>
              <w:t>Alleen indien noodzakelijk, vooraf benoemd en geautoriseerd; geen partij is momenteel standaard aangewezen.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2. Worldstream B.V.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7011"/>
      </w:tblGrid>
      <w:tr>
        <w:trPr>
          <w:tblHeader w:val="true"/>
        </w:trPr>
        <w:tc>
          <w:tcPr>
            <w:tcW w:type="dxa" w:w="24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Gegeven</w:t>
            </w:r>
          </w:p>
        </w:tc>
        <w:tc>
          <w:tcPr>
            <w:tcW w:type="dxa" w:w="70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Omschrijving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Officiële naam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Worldstream B.V.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Adres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Industriestraat 53, 2671 CT Naaldwijk, Nederland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KvK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60223650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Dienst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Nederlandse datacenter-, server-, netwerk-, infrastructuur- en technische facilitaire diensten; opslag en back-up voor zover overeengekomen.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Mogelijke gegevens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Versleutelde Klantdata, systeemdata, metadata en back-ups voor zover technisch op de infrastructuur aanwezig.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Logische toegang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Geen reguliere applicatieve of inhoudelijke toegang tot Klantdata. Noodzakelijke technische of noodtoegang uitsluitend beperkt, gelogd en onder toepasselijke instructies, toestemming en vertrouwelijkheid.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Locatie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Nederland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Doorgifte buiten EER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Niet voorzien voor de standaarddienst.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Publieke zekerheid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Worldstream publiceert onder meer ISO 27001, ISO 9001, SOC/ISAE-, NEN 7510- en PCI-DSS-informatie voor eigen scope. Geldigheid en reikwijdte moeten bij de leverancier worden gecontroleerd; dit zijn geen Brightness-certificeringen.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3. Brightness India B.V.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7011"/>
      </w:tblGrid>
      <w:tr>
        <w:trPr>
          <w:tblHeader w:val="true"/>
        </w:trPr>
        <w:tc>
          <w:tcPr>
            <w:tcW w:type="dxa" w:w="24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Gegeven</w:t>
            </w:r>
          </w:p>
        </w:tc>
        <w:tc>
          <w:tcPr>
            <w:tcW w:type="dxa" w:w="70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Omschrijving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Officiële naam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Brightness India B.V.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Adres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Graftermeerstraat 22c, 2131 AC Hoofddorp, Nederland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KvK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63516136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Dienst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Softwareontwikkeling, testen, technische analyse en herstelondersteuning voor Brightness ICT B.V.; daarnaast eigen directe ontwikkelopdrachten.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Status bij ICT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Voorwaardelijke Subverwerker; alleen actief na specifieke schriftelijke autorisatie voor de opdracht.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Achterliggende uitvoering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Brightness Software Development (I) Private Limited kan feitelijke werkzaamheden vanuit India uitvoeren.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Geen relatie met Subscriptions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Brightness Subscriptions B.V. schakelt Brightness India B.V. niet in voor haar verwerkingsscope.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4. Brightness Software Development (I) Private Limited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7011"/>
      </w:tblGrid>
      <w:tr>
        <w:trPr>
          <w:tblHeader w:val="true"/>
        </w:trPr>
        <w:tc>
          <w:tcPr>
            <w:tcW w:type="dxa" w:w="24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Gegeven</w:t>
            </w:r>
          </w:p>
        </w:tc>
        <w:tc>
          <w:tcPr>
            <w:tcW w:type="dxa" w:w="70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Omschrijving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Officiële naam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Brightness Software Development (I) Private Limited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Adres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503, Satya One, Opp. R3 The Mall, Drive-In Road, Manav Mandir, Memnagar, Ahmedabad 380052, Gujarat, India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CIN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U72300GJ2015PTC082977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Contact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support@brightness-group.com | +31 23 557 4211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Directeuren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H. Soni en J. Kerkhof; J. Kerkhof is aangewezen voor ondertekening.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Dienst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Softwareontwikkeling, testen, technische analyse en herstelondersteuning.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Rol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Subverwerker van Brightness India B.V.; geen rechtstreekse contractpartij van de eindklant.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Mogelijke gegevens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Alleen minimaal noodzakelijke broncode, configuratie, logs, testgegevens of Klantdata voor de geautoriseerde opdracht.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Locatie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India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Doorgiftewaarborg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EU-standaardcontractbepalingen voor verwerker-naar-verwerker (Module 3), doorgiftebeoordeling en passende aanvullende maatregelen vóór toegang, zolang geen ander geldig doorgiftemechanisme geldt.</w:t>
            </w:r>
          </w:p>
        </w:tc>
      </w:tr>
      <w:tr>
        <w:tc>
          <w:tcPr>
            <w:tcW w:type="dxa" w:w="2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Andere opdrachtgevers</w:t>
            </w:r>
          </w:p>
        </w:tc>
        <w:tc>
          <w:tcPr>
            <w:tcW w:type="dxa" w:w="70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De onderneming werkt ook voor derden; klant-, account- en toegangssegregatie is verplicht.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5. AI- en integratieleveranciers</w:t>
      </w:r>
    </w:p>
    <w:p>
      <w:pPr>
        <w:keepLines w:val="0"/>
        <w:spacing w:after="120"/>
      </w:pPr>
      <w:r>
        <w:rPr>
          <w:rFonts w:ascii="Calibri" w:hAnsi="Calibri"/>
          <w:i w:val="0"/>
        </w:rPr>
        <w:t>Onderstaande categorieën zijn niet door deze vermelding geautoriseerd. Bij gebruik via een Brightness-account, -contract of -API-sleutel wordt vóór activering een concreet registeritem gepubliceerd en actief aangekondigd met exacte contractspartij, dienst, locatie, bewaartermijn, trainingsvoorwaarden en doorgiftewaarborg.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111"/>
      </w:tblGrid>
      <w:tr>
        <w:trPr>
          <w:tblHeader w:val="true"/>
        </w:trPr>
        <w:tc>
          <w:tcPr>
            <w:tcW w:type="dxa" w:w="33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Situatie</w:t>
            </w:r>
          </w:p>
        </w:tc>
        <w:tc>
          <w:tcPr>
            <w:tcW w:type="dxa" w:w="61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Juridische positie en actie</w:t>
            </w:r>
          </w:p>
        </w:tc>
      </w:tr>
      <w:tr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Klant gebruikt eigen account of API-sleutel</w:t>
            </w:r>
          </w:p>
        </w:tc>
        <w:tc>
          <w:tcPr>
            <w:tcW w:type="dxa" w:w="61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Rechtstreeks door de Klant ingeschakelde derde en geen Subverwerker van Brightness. De Klant is verantwoordelijk voor selectie, contract, grondslag, regio en instellingen; Brightness uitsluitend voor haar eigen koppeling.</w:t>
            </w:r>
          </w:p>
        </w:tc>
      </w:tr>
      <w:tr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Brightness gebruikt eigen account, contract of API-sleutel bij Mistral, OpenAI, Microsoft of een andere aanbieder</w:t>
            </w:r>
          </w:p>
        </w:tc>
        <w:tc>
          <w:tcPr>
            <w:tcW w:type="dxa" w:w="61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Subverwerker van de toepasselijke Brightness-verwerker. Exacte contractspartij en voorwaarden worden vóór activering toegevoegd; artikel 28 lid 4 AVG blijft van toepassing.</w:t>
            </w:r>
          </w:p>
        </w:tc>
      </w:tr>
      <w:tr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Volledig lokale of private verwerking zonder externe derde</w:t>
            </w:r>
          </w:p>
        </w:tc>
        <w:tc>
          <w:tcPr>
            <w:tcW w:type="dxa" w:w="61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Geen externe Subverwerker voor die verwerking.</w:t>
            </w:r>
          </w:p>
        </w:tc>
      </w:tr>
    </w:tbl>
    <w:p>
      <w:pPr>
        <w:spacing w:after="0"/>
      </w:pP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411"/>
      </w:tblGrid>
      <w:tr>
        <w:tc>
          <w:tcPr>
            <w:tcW w:type="dxa" w:w="94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4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 xml:space="preserve">Belangrijk: </w:t>
            </w:r>
            <w:r>
              <w:rPr>
                <w:rFonts w:ascii="Calibri" w:hAnsi="Calibri"/>
                <w:color w:val="111827"/>
                <w:sz w:val="19"/>
              </w:rPr>
              <w:t>De namen Mistral, OpenAI en Microsoft beschrijven mogelijke koppelingen, niet een actuele universele autorisatie. Alleen een volledig ingevuld en aangekondigd registeritem mag via een Brightness-account, -contract of -API-sleutel worden geactiveerd.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6. Interne voorzieningen die geen externe Subverwerker zijn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Control panels en monitoring worden intern door Brightness beheerd.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Back-ups op een andere server binnen dezelfde Nederlandse datacenteromgeving introduceren geen aanvullende leverancier zolang geen andere externe partij toegang of beheer heeft.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Een interne Brightness-supportdesk is geen Subverwerker. Een externe supportpartij wordt vóór toegang afzonderlijk benoemd en geautoriseerd.</w:t>
      </w:r>
    </w:p>
    <w:p>
      <w:pPr>
        <w:pStyle w:val="Heading1"/>
        <w:keepNext/>
      </w:pPr>
      <w:r>
        <w:t>7. Wijzigingen en bezwaar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Een nieuwe of vervangende Subverwerker wordt minimaal dertig dagen vóór de voorgenomen inschakeling actief aangekondigd via e-mail of klantomgeving.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Klant kan binnen vijftien dagen gemotiveerd bezwaar maken wegens concrete privacy- of beveiligingsrisico's.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Partijen zoeken eerst een oplossing. Als die ontbreekt, kan uitsluitend het wezenlijk getroffen dienstonderdeel vóór inschakeling worden beëindigd.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Offerte bewaart titel, versie en datum van de bij contractsluiting geautoriseerde registerversie.</w:t>
      </w:r>
    </w:p>
    <w:p>
      <w:pPr>
        <w:pStyle w:val="Heading1"/>
        <w:keepNext/>
      </w:pPr>
      <w:r>
        <w:t>8. Contact en versiebeheer</w:t>
      </w:r>
    </w:p>
    <w:p>
      <w:pPr>
        <w:keepLines w:val="0"/>
        <w:spacing w:after="120"/>
      </w:pPr>
      <w:r>
        <w:rPr>
          <w:rFonts w:ascii="Calibri" w:hAnsi="Calibri"/>
          <w:i w:val="0"/>
        </w:rPr>
        <w:t>Vragen of bezwaren: support@brightness-group.com. De juridische pagina op brightness-group.com is de centrale bron. sparklecloud.ai verwijst naar die bron of publiceert aantoonbaar exact hetzelfde bestand en versienummer. Een nieuwe publicatie wijzigt bestaande contracten alleen volgens de aankondigings- en wijzigingsprocedure.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2200"/>
        <w:gridCol w:w="5611"/>
      </w:tblGrid>
      <w:tr>
        <w:trPr>
          <w:tblHeader w:val="true"/>
        </w:trPr>
        <w:tc>
          <w:tcPr>
            <w:tcW w:type="dxa" w:w="16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Versie</w:t>
            </w:r>
          </w:p>
        </w:tc>
        <w:tc>
          <w:tcPr>
            <w:tcW w:type="dxa" w:w="22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56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Hoofdwijziging</w:t>
            </w:r>
          </w:p>
        </w:tc>
      </w:tr>
      <w:tr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1.0</w:t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21 augustus 2026</w:t>
            </w:r>
          </w:p>
        </w:tc>
        <w:tc>
          <w:tcPr>
            <w:tcW w:type="dxa" w:w="56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Eerste SparkleCloud-register.</w:t>
            </w:r>
          </w:p>
        </w:tc>
      </w:tr>
      <w:tr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2.0</w:t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26 augustus 2026</w:t>
            </w:r>
          </w:p>
        </w:tc>
        <w:tc>
          <w:tcPr>
            <w:tcW w:type="dxa" w:w="56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827"/>
                <w:sz w:val="17"/>
              </w:rPr>
              <w:t>Universeel register; correcte entiteitsketen, AI-scheiding, India-autorisatie en actieve wijzigingsmelding.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right"/>
    </w:pPr>
    <w:r>
      <w:rPr>
        <w:rFonts w:ascii="Calibri" w:hAnsi="Calibri"/>
        <w:color w:val="4B5563"/>
        <w:sz w:val="17"/>
      </w:rPr>
      <w:t xml:space="preserve">Subverwerkersregister Brightness  |  v2.0  |  pagina </w:t>
    </w:r>
    <w:r>
      <w:rPr>
        <w:rFonts w:ascii="Calibri" w:hAnsi="Calibri"/>
        <w:color w:val="4B5563"/>
        <w:sz w:val="17"/>
      </w:rPr>
      <w:fldChar w:fldCharType="begin"/>
      <w:instrText xml:space="preserve">PAGE</w:instrText>
      <w:fldChar w:fldCharType="end"/>
    </w:r>
    <w:r>
      <w:rPr>
        <w:rFonts w:ascii="Calibri" w:hAnsi="Calibri"/>
        <w:color w:val="4B5563"/>
        <w:sz w:val="17"/>
      </w:rPr>
      <w:t xml:space="preserve"> van </w:t>
    </w:r>
    <w:r>
      <w:rPr>
        <w:rFonts w:ascii="Calibri" w:hAnsi="Calibri"/>
        <w:color w:val="4B5563"/>
        <w:sz w:val="17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6" w:space="4" w:color="D9E1E7"/>
      </w:pBdr>
    </w:pPr>
    <w:r>
      <w:rPr>
        <w:rFonts w:ascii="Calibri" w:hAnsi="Calibri"/>
        <w:b/>
        <w:color w:val="176B87"/>
        <w:sz w:val="17"/>
      </w:rPr>
      <w:t>BRIGHTNESS  |  GEGEVENSBESCHERMING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76B8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Subverwerkersregister Brightness</dc:title>
  <dc:subject>AVG-verwerkersdocumentatie Brightness</dc:subject>
  <dc:creator>Brightness Group</dc:creator>
  <cp:keywords>AVG, verwerkersovereenkomst, Brightness, persoonsgegevens</cp:keywords>
  <dc:description>Definitief model v2.0</dc:description>
  <cp:lastModifiedBy>Brightness Group</cp:lastModifiedBy>
  <cp:revision>1</cp:revision>
  <dcterms:created xsi:type="dcterms:W3CDTF">2013-12-23T23:15:00Z</dcterms:created>
  <dcterms:modified xsi:type="dcterms:W3CDTF">2013-12-23T23:15:00Z</dcterms:modified>
  <cp:category/>
</cp:coreProperties>
</file>