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after="60"/>
      </w:pPr>
      <w:r>
        <w:rPr>
          <w:rFonts w:ascii="Calibri" w:hAnsi="Calibri"/>
          <w:b/>
          <w:color w:val="00A6C8"/>
          <w:sz w:val="18"/>
        </w:rPr>
        <w:t>INFORMATIE VAN VERWERKINGSVERANTWOORDELIJKEN</w:t>
      </w:r>
    </w:p>
    <w:p>
      <w:pPr>
        <w:spacing w:after="100"/>
      </w:pPr>
      <w:r>
        <w:rPr>
          <w:rFonts w:ascii="Calibri" w:hAnsi="Calibri"/>
          <w:b/>
          <w:color w:val="17324D"/>
          <w:sz w:val="50"/>
        </w:rPr>
        <w:t>Privacyverklaring Brightness</w:t>
      </w:r>
    </w:p>
    <w:p>
      <w:pPr>
        <w:spacing w:after="320"/>
      </w:pPr>
      <w:r>
        <w:rPr>
          <w:rFonts w:ascii="Calibri" w:hAnsi="Calibri"/>
          <w:color w:val="4B5563"/>
          <w:sz w:val="25"/>
        </w:rPr>
        <w:t>Voor websitebezoekers, zakelijke contacten, prospects, klanten, gebruikers, leveranciers en sollicitanten</w:t>
      </w:r>
    </w:p>
    <w:tbl>
      <w:tblPr>
        <w:tblStyle w:val="TableGrid"/>
        <w:tblW w:type="dxa" w:w="9411"/>
        <w:jc w:val="left"/>
        <w:tblLayout w:type="fixed"/>
        <w:tblLook w:firstColumn="1" w:firstRow="1" w:lastColumn="0" w:lastRow="0" w:noHBand="0" w:noVBand="1" w:val="04A0"/>
        <w:tblInd w:w="120" w:type="dxa"/>
      </w:tblPr>
      <w:tblGrid>
        <w:gridCol w:w="2100"/>
        <w:gridCol w:w="7311"/>
      </w:tblGrid>
      <w:tr>
        <w:trPr>
          <w:cantSplit/>
        </w:trPr>
        <w:tc>
          <w:tcPr>
            <w:tcW w:type="dxa" w:w="2100"/>
            <w:shd w:fill="EAF4F7"/>
            <w:tcMar>
              <w:top w:w="90" w:type="dxa"/>
              <w:start w:w="120" w:type="dxa"/>
              <w:bottom w:w="90" w:type="dxa"/>
              <w:end w:w="120" w:type="dxa"/>
            </w:tcMar>
            <w:vAlign w:val="center"/>
          </w:tcPr>
          <w:p>
            <w:pPr>
              <w:spacing w:after="0"/>
            </w:pPr>
            <w:r>
              <w:rPr>
                <w:rFonts w:ascii="Calibri" w:hAnsi="Calibri"/>
                <w:b/>
                <w:color w:val="17324D"/>
                <w:sz w:val="18"/>
              </w:rPr>
              <w:t>Versie</w:t>
            </w:r>
          </w:p>
        </w:tc>
        <w:tc>
          <w:tcPr>
            <w:tcW w:type="dxa" w:w="7311"/>
            <w:tcMar>
              <w:top w:w="90" w:type="dxa"/>
              <w:start w:w="120" w:type="dxa"/>
              <w:bottom w:w="90" w:type="dxa"/>
              <w:end w:w="120" w:type="dxa"/>
            </w:tcMar>
            <w:vAlign w:val="center"/>
          </w:tcPr>
          <w:p>
            <w:pPr>
              <w:spacing w:after="0"/>
            </w:pPr>
            <w:r>
              <w:rPr>
                <w:rFonts w:ascii="Calibri" w:hAnsi="Calibri"/>
                <w:b w:val="0"/>
                <w:color w:val="111827"/>
                <w:sz w:val="18"/>
              </w:rPr>
              <w:t>3.0</w:t>
            </w:r>
          </w:p>
        </w:tc>
      </w:tr>
      <w:tr>
        <w:trPr>
          <w:cantSplit/>
        </w:trPr>
        <w:tc>
          <w:tcPr>
            <w:tcW w:type="dxa" w:w="2100"/>
            <w:shd w:fill="EAF4F7"/>
            <w:tcMar>
              <w:top w:w="90" w:type="dxa"/>
              <w:start w:w="120" w:type="dxa"/>
              <w:bottom w:w="90" w:type="dxa"/>
              <w:end w:w="120" w:type="dxa"/>
            </w:tcMar>
            <w:vAlign w:val="center"/>
          </w:tcPr>
          <w:p>
            <w:pPr>
              <w:spacing w:after="0"/>
            </w:pPr>
            <w:r>
              <w:rPr>
                <w:rFonts w:ascii="Calibri" w:hAnsi="Calibri"/>
                <w:b/>
                <w:color w:val="17324D"/>
                <w:sz w:val="18"/>
              </w:rPr>
              <w:t>Datum</w:t>
            </w:r>
          </w:p>
        </w:tc>
        <w:tc>
          <w:tcPr>
            <w:tcW w:type="dxa" w:w="7311"/>
            <w:tcMar>
              <w:top w:w="90" w:type="dxa"/>
              <w:start w:w="120" w:type="dxa"/>
              <w:bottom w:w="90" w:type="dxa"/>
              <w:end w:w="120" w:type="dxa"/>
            </w:tcMar>
            <w:vAlign w:val="center"/>
          </w:tcPr>
          <w:p>
            <w:pPr>
              <w:spacing w:after="0"/>
            </w:pPr>
            <w:r>
              <w:rPr>
                <w:rFonts w:ascii="Calibri" w:hAnsi="Calibri"/>
                <w:b w:val="0"/>
                <w:color w:val="111827"/>
                <w:sz w:val="18"/>
              </w:rPr>
              <w:t>27 augustus 2026</w:t>
            </w:r>
          </w:p>
        </w:tc>
      </w:tr>
      <w:tr>
        <w:trPr>
          <w:cantSplit/>
        </w:trPr>
        <w:tc>
          <w:tcPr>
            <w:tcW w:type="dxa" w:w="2100"/>
            <w:shd w:fill="EAF4F7"/>
            <w:tcMar>
              <w:top w:w="90" w:type="dxa"/>
              <w:start w:w="120" w:type="dxa"/>
              <w:bottom w:w="90" w:type="dxa"/>
              <w:end w:w="120" w:type="dxa"/>
            </w:tcMar>
            <w:vAlign w:val="center"/>
          </w:tcPr>
          <w:p>
            <w:pPr>
              <w:spacing w:after="0"/>
            </w:pPr>
            <w:r>
              <w:rPr>
                <w:rFonts w:ascii="Calibri" w:hAnsi="Calibri"/>
                <w:b/>
                <w:color w:val="17324D"/>
                <w:sz w:val="18"/>
              </w:rPr>
              <w:t>Contact</w:t>
            </w:r>
          </w:p>
        </w:tc>
        <w:tc>
          <w:tcPr>
            <w:tcW w:type="dxa" w:w="7311"/>
            <w:tcMar>
              <w:top w:w="90" w:type="dxa"/>
              <w:start w:w="120" w:type="dxa"/>
              <w:bottom w:w="90" w:type="dxa"/>
              <w:end w:w="120" w:type="dxa"/>
            </w:tcMar>
            <w:vAlign w:val="center"/>
          </w:tcPr>
          <w:p>
            <w:pPr>
              <w:spacing w:after="0"/>
            </w:pPr>
            <w:r>
              <w:rPr>
                <w:rFonts w:ascii="Calibri" w:hAnsi="Calibri"/>
                <w:b w:val="0"/>
                <w:color w:val="111827"/>
                <w:sz w:val="18"/>
              </w:rPr>
              <w:t>support@brightness-group.com | +31 23 557 4211</w:t>
            </w:r>
          </w:p>
        </w:tc>
      </w:tr>
      <w:tr>
        <w:trPr>
          <w:cantSplit/>
        </w:trPr>
        <w:tc>
          <w:tcPr>
            <w:tcW w:type="dxa" w:w="2100"/>
            <w:shd w:fill="EAF4F7"/>
            <w:tcMar>
              <w:top w:w="90" w:type="dxa"/>
              <w:start w:w="120" w:type="dxa"/>
              <w:bottom w:w="90" w:type="dxa"/>
              <w:end w:w="120" w:type="dxa"/>
            </w:tcMar>
            <w:vAlign w:val="center"/>
          </w:tcPr>
          <w:p>
            <w:pPr>
              <w:spacing w:after="0"/>
            </w:pPr>
            <w:r>
              <w:rPr>
                <w:rFonts w:ascii="Calibri" w:hAnsi="Calibri"/>
                <w:b/>
                <w:color w:val="17324D"/>
                <w:sz w:val="18"/>
              </w:rPr>
              <w:t>Status</w:t>
            </w:r>
          </w:p>
        </w:tc>
        <w:tc>
          <w:tcPr>
            <w:tcW w:type="dxa" w:w="7311"/>
            <w:tcMar>
              <w:top w:w="90" w:type="dxa"/>
              <w:start w:w="120" w:type="dxa"/>
              <w:bottom w:w="90" w:type="dxa"/>
              <w:end w:w="120" w:type="dxa"/>
            </w:tcMar>
            <w:vAlign w:val="center"/>
          </w:tcPr>
          <w:p>
            <w:pPr>
              <w:spacing w:after="0"/>
            </w:pPr>
            <w:r>
              <w:rPr>
                <w:rFonts w:ascii="Calibri" w:hAnsi="Calibri"/>
                <w:b w:val="0"/>
                <w:color w:val="111827"/>
                <w:sz w:val="18"/>
              </w:rPr>
              <w:t>Geldt voor brightness-group.com, sparklecloud.ai en rechtstreekse zakelijke Brightness-relaties</w:t>
            </w:r>
          </w:p>
        </w:tc>
      </w:tr>
    </w:tbl>
    <w:p>
      <w:pPr>
        <w:spacing w:after="0"/>
      </w:pPr>
    </w:p>
    <w:tbl>
      <w:tblPr>
        <w:tblStyle w:val="TableGrid"/>
        <w:tblW w:type="dxa" w:w="9411"/>
        <w:jc w:val="left"/>
        <w:tblLayout w:type="fixed"/>
        <w:tblLook w:firstColumn="1" w:firstRow="1" w:lastColumn="0" w:lastRow="0" w:noHBand="0" w:noVBand="1" w:val="04A0"/>
        <w:tblInd w:w="120" w:type="dxa"/>
      </w:tblPr>
      <w:tblGrid>
        <w:gridCol w:w="9411"/>
      </w:tblGrid>
      <w:tr>
        <w:trPr>
          <w:cantSplit/>
        </w:trPr>
        <w:tc>
          <w:tcPr>
            <w:tcW w:type="dxa" w:w="9411"/>
            <w:shd w:fill="EAF4F7"/>
            <w:tcMar>
              <w:top w:w="90" w:type="dxa"/>
              <w:start w:w="120" w:type="dxa"/>
              <w:bottom w:w="90" w:type="dxa"/>
              <w:end w:w="120" w:type="dxa"/>
            </w:tcMar>
            <w:vAlign w:val="center"/>
          </w:tcPr>
          <w:p>
            <w:pPr>
              <w:spacing w:after="0"/>
            </w:pPr>
            <w:r>
              <w:rPr>
                <w:rFonts w:ascii="Calibri" w:hAnsi="Calibri"/>
                <w:b/>
                <w:color w:val="17324D"/>
                <w:sz w:val="19"/>
              </w:rPr>
              <w:t xml:space="preserve">Belangrijk: </w:t>
            </w:r>
            <w:r>
              <w:rPr>
                <w:rFonts w:ascii="Calibri" w:hAnsi="Calibri"/>
                <w:sz w:val="19"/>
              </w:rPr>
              <w:t>Brightness ICT B.V. is de beheerder en verwerkingsverantwoordelijke voor brightness-group.com en centrale groepsaanvragen. Brightness Group B.V. is uitsluitend de holding/overkoepelende naam en is niet de websiteverantwoordelijke. Brightness Subscriptions B.V. is beheerder en verwerkingsverantwoordelijke voor sparklecloud.ai en de eigen bedrijfsadministratie van SparkleCloud.</w:t>
            </w:r>
          </w:p>
        </w:tc>
      </w:tr>
    </w:tbl>
    <w:p>
      <w:pPr>
        <w:spacing w:after="0"/>
      </w:pPr>
    </w:p>
    <w:p>
      <w:pPr>
        <w:pStyle w:val="Heading1"/>
        <w:keepNext/>
      </w:pPr>
      <w:r>
        <w:t>1. Reikwijdte en rollen</w:t>
      </w:r>
    </w:p>
    <w:p>
      <w:pPr>
        <w:keepLines w:val="0"/>
        <w:spacing w:after="120"/>
      </w:pPr>
      <w:r>
        <w:rPr>
          <w:rFonts w:ascii="Calibri" w:hAnsi="Calibri"/>
          <w:i w:val="0"/>
        </w:rPr>
        <w:t>Deze verklaring beschrijft hoe de relevante Brightness-entiteit persoonsgegevens voor eigen doelen als verwerkingsverantwoordelijke verwerkt. Zij beschrijft geen Klantdata die Brightness uitsluitend in opdracht van een klant verwerkt; daarop gelden de Verwerkersovereenkomst en de privacyverklaring van de klant.</w:t>
      </w:r>
    </w:p>
    <w:tbl>
      <w:tblPr>
        <w:tblStyle w:val="TableGrid"/>
        <w:tblW w:type="dxa" w:w="9411"/>
        <w:jc w:val="left"/>
        <w:tblLayout w:type="fixed"/>
        <w:tblLook w:firstColumn="1" w:firstRow="1" w:lastColumn="0" w:lastRow="0" w:noHBand="0" w:noVBand="1" w:val="04A0"/>
        <w:tblInd w:w="120" w:type="dxa"/>
      </w:tblPr>
      <w:tblGrid>
        <w:gridCol w:w="2350"/>
        <w:gridCol w:w="2350"/>
        <w:gridCol w:w="4711"/>
      </w:tblGrid>
      <w:tr>
        <w:trPr>
          <w:tblHeader w:val="true"/>
          <w:cantSplit/>
        </w:trPr>
        <w:tc>
          <w:tcPr>
            <w:tcW w:type="dxa" w:w="2350"/>
            <w:shd w:fill="17324D"/>
            <w:tcMar>
              <w:top w:w="90" w:type="dxa"/>
              <w:start w:w="120" w:type="dxa"/>
              <w:bottom w:w="90" w:type="dxa"/>
              <w:end w:w="120" w:type="dxa"/>
            </w:tcMar>
            <w:vAlign w:val="center"/>
          </w:tcPr>
          <w:p>
            <w:pPr>
              <w:spacing w:after="0"/>
            </w:pPr>
            <w:r>
              <w:rPr>
                <w:rFonts w:ascii="Calibri" w:hAnsi="Calibri"/>
                <w:b/>
                <w:color w:val="FFFFFF"/>
                <w:sz w:val="16"/>
              </w:rPr>
              <w:t>Context</w:t>
            </w:r>
          </w:p>
        </w:tc>
        <w:tc>
          <w:tcPr>
            <w:tcW w:type="dxa" w:w="2350"/>
            <w:shd w:fill="17324D"/>
            <w:tcMar>
              <w:top w:w="90" w:type="dxa"/>
              <w:start w:w="120" w:type="dxa"/>
              <w:bottom w:w="90" w:type="dxa"/>
              <w:end w:w="120" w:type="dxa"/>
            </w:tcMar>
            <w:vAlign w:val="center"/>
          </w:tcPr>
          <w:p>
            <w:pPr>
              <w:spacing w:after="0"/>
            </w:pPr>
            <w:r>
              <w:rPr>
                <w:rFonts w:ascii="Calibri" w:hAnsi="Calibri"/>
                <w:b/>
                <w:color w:val="FFFFFF"/>
                <w:sz w:val="16"/>
              </w:rPr>
              <w:t>Verwerkingsverantwoordelijke</w:t>
            </w:r>
          </w:p>
        </w:tc>
        <w:tc>
          <w:tcPr>
            <w:tcW w:type="dxa" w:w="4711"/>
            <w:shd w:fill="17324D"/>
            <w:tcMar>
              <w:top w:w="90" w:type="dxa"/>
              <w:start w:w="120" w:type="dxa"/>
              <w:bottom w:w="90" w:type="dxa"/>
              <w:end w:w="120" w:type="dxa"/>
            </w:tcMar>
            <w:vAlign w:val="center"/>
          </w:tcPr>
          <w:p>
            <w:pPr>
              <w:spacing w:after="0"/>
            </w:pPr>
            <w:r>
              <w:rPr>
                <w:rFonts w:ascii="Calibri" w:hAnsi="Calibri"/>
                <w:b/>
                <w:color w:val="FFFFFF"/>
                <w:sz w:val="16"/>
              </w:rPr>
              <w:t>Toelichting</w:t>
            </w:r>
          </w:p>
        </w:tc>
      </w:tr>
      <w:tr>
        <w:trPr>
          <w:cantSplit/>
        </w:trPr>
        <w:tc>
          <w:tcPr>
            <w:tcW w:type="dxa" w:w="2350"/>
            <w:tcMar>
              <w:top w:w="90" w:type="dxa"/>
              <w:start w:w="120" w:type="dxa"/>
              <w:bottom w:w="90" w:type="dxa"/>
              <w:end w:w="120" w:type="dxa"/>
            </w:tcMar>
            <w:vAlign w:val="center"/>
          </w:tcPr>
          <w:p>
            <w:pPr>
              <w:spacing w:after="0"/>
            </w:pPr>
            <w:r>
              <w:rPr>
                <w:rFonts w:ascii="Calibri" w:hAnsi="Calibri"/>
                <w:b w:val="0"/>
                <w:color w:val="111827"/>
                <w:sz w:val="16"/>
              </w:rPr>
              <w:t>brightness-group.com en centrale groepsaanvragen</w:t>
            </w:r>
          </w:p>
        </w:tc>
        <w:tc>
          <w:tcPr>
            <w:tcW w:type="dxa" w:w="2350"/>
            <w:tcMar>
              <w:top w:w="90" w:type="dxa"/>
              <w:start w:w="120" w:type="dxa"/>
              <w:bottom w:w="90" w:type="dxa"/>
              <w:end w:w="120" w:type="dxa"/>
            </w:tcMar>
            <w:vAlign w:val="center"/>
          </w:tcPr>
          <w:p>
            <w:pPr>
              <w:spacing w:after="0"/>
            </w:pPr>
            <w:r>
              <w:rPr>
                <w:rFonts w:ascii="Calibri" w:hAnsi="Calibri"/>
                <w:b w:val="0"/>
                <w:color w:val="111827"/>
                <w:sz w:val="16"/>
              </w:rPr>
              <w:t>Brightness ICT B.V.</w:t>
            </w:r>
          </w:p>
        </w:tc>
        <w:tc>
          <w:tcPr>
            <w:tcW w:type="dxa" w:w="4711"/>
            <w:tcMar>
              <w:top w:w="90" w:type="dxa"/>
              <w:start w:w="120" w:type="dxa"/>
              <w:bottom w:w="90" w:type="dxa"/>
              <w:end w:w="120" w:type="dxa"/>
            </w:tcMar>
            <w:vAlign w:val="center"/>
          </w:tcPr>
          <w:p>
            <w:pPr>
              <w:spacing w:after="0"/>
            </w:pPr>
            <w:r>
              <w:rPr>
                <w:rFonts w:ascii="Calibri" w:hAnsi="Calibri"/>
                <w:b w:val="0"/>
                <w:color w:val="111827"/>
                <w:sz w:val="16"/>
              </w:rPr>
              <w:t>Verzamelt websitegegevens en aanvragen en leidt een aanvraag waar nodig door naar de relevante operationele entiteit.</w:t>
            </w:r>
          </w:p>
        </w:tc>
      </w:tr>
      <w:tr>
        <w:trPr>
          <w:cantSplit/>
        </w:trPr>
        <w:tc>
          <w:tcPr>
            <w:tcW w:type="dxa" w:w="2350"/>
            <w:tcMar>
              <w:top w:w="90" w:type="dxa"/>
              <w:start w:w="120" w:type="dxa"/>
              <w:bottom w:w="90" w:type="dxa"/>
              <w:end w:w="120" w:type="dxa"/>
            </w:tcMar>
            <w:vAlign w:val="center"/>
          </w:tcPr>
          <w:p>
            <w:pPr>
              <w:spacing w:after="0"/>
            </w:pPr>
            <w:r>
              <w:rPr>
                <w:rFonts w:ascii="Calibri" w:hAnsi="Calibri"/>
                <w:b w:val="0"/>
                <w:color w:val="111827"/>
                <w:sz w:val="16"/>
              </w:rPr>
              <w:t>sparklecloud.ai, SparkleCloud-verkoop, abonnementen en supportadministratie</w:t>
            </w:r>
          </w:p>
        </w:tc>
        <w:tc>
          <w:tcPr>
            <w:tcW w:type="dxa" w:w="2350"/>
            <w:tcMar>
              <w:top w:w="90" w:type="dxa"/>
              <w:start w:w="120" w:type="dxa"/>
              <w:bottom w:w="90" w:type="dxa"/>
              <w:end w:w="120" w:type="dxa"/>
            </w:tcMar>
            <w:vAlign w:val="center"/>
          </w:tcPr>
          <w:p>
            <w:pPr>
              <w:spacing w:after="0"/>
            </w:pPr>
            <w:r>
              <w:rPr>
                <w:rFonts w:ascii="Calibri" w:hAnsi="Calibri"/>
                <w:b w:val="0"/>
                <w:color w:val="111827"/>
                <w:sz w:val="16"/>
              </w:rPr>
              <w:t>Brightness Subscriptions B.V.</w:t>
            </w:r>
          </w:p>
        </w:tc>
        <w:tc>
          <w:tcPr>
            <w:tcW w:type="dxa" w:w="4711"/>
            <w:tcMar>
              <w:top w:w="90" w:type="dxa"/>
              <w:start w:w="120" w:type="dxa"/>
              <w:bottom w:w="90" w:type="dxa"/>
              <w:end w:w="120" w:type="dxa"/>
            </w:tcMar>
            <w:vAlign w:val="center"/>
          </w:tcPr>
          <w:p>
            <w:pPr>
              <w:spacing w:after="0"/>
            </w:pPr>
            <w:r>
              <w:rPr>
                <w:rFonts w:ascii="Calibri" w:hAnsi="Calibri"/>
                <w:b w:val="0"/>
                <w:color w:val="111827"/>
                <w:sz w:val="16"/>
              </w:rPr>
              <w:t>Behandelt platformaanvragen, accounts, contracten, licenties, supportadministratie en marketing met toestemming.</w:t>
            </w:r>
          </w:p>
        </w:tc>
      </w:tr>
      <w:tr>
        <w:trPr>
          <w:cantSplit/>
        </w:trPr>
        <w:tc>
          <w:tcPr>
            <w:tcW w:type="dxa" w:w="2350"/>
            <w:tcMar>
              <w:top w:w="90" w:type="dxa"/>
              <w:start w:w="120" w:type="dxa"/>
              <w:bottom w:w="90" w:type="dxa"/>
              <w:end w:w="120" w:type="dxa"/>
            </w:tcMar>
            <w:vAlign w:val="center"/>
          </w:tcPr>
          <w:p>
            <w:pPr>
              <w:spacing w:after="0"/>
            </w:pPr>
            <w:r>
              <w:rPr>
                <w:rFonts w:ascii="Calibri" w:hAnsi="Calibri"/>
                <w:b w:val="0"/>
                <w:color w:val="111827"/>
                <w:sz w:val="16"/>
              </w:rPr>
              <w:t>Rechtstreekse ontwikkelrelatie</w:t>
            </w:r>
          </w:p>
        </w:tc>
        <w:tc>
          <w:tcPr>
            <w:tcW w:type="dxa" w:w="2350"/>
            <w:tcMar>
              <w:top w:w="90" w:type="dxa"/>
              <w:start w:w="120" w:type="dxa"/>
              <w:bottom w:w="90" w:type="dxa"/>
              <w:end w:w="120" w:type="dxa"/>
            </w:tcMar>
            <w:vAlign w:val="center"/>
          </w:tcPr>
          <w:p>
            <w:pPr>
              <w:spacing w:after="0"/>
            </w:pPr>
            <w:r>
              <w:rPr>
                <w:rFonts w:ascii="Calibri" w:hAnsi="Calibri"/>
                <w:b w:val="0"/>
                <w:color w:val="111827"/>
                <w:sz w:val="16"/>
              </w:rPr>
              <w:t>Entiteit genoemd in de offerte</w:t>
            </w:r>
          </w:p>
        </w:tc>
        <w:tc>
          <w:tcPr>
            <w:tcW w:type="dxa" w:w="4711"/>
            <w:tcMar>
              <w:top w:w="90" w:type="dxa"/>
              <w:start w:w="120" w:type="dxa"/>
              <w:bottom w:w="90" w:type="dxa"/>
              <w:end w:w="120" w:type="dxa"/>
            </w:tcMar>
            <w:vAlign w:val="center"/>
          </w:tcPr>
          <w:p>
            <w:pPr>
              <w:spacing w:after="0"/>
            </w:pPr>
            <w:r>
              <w:rPr>
                <w:rFonts w:ascii="Calibri" w:hAnsi="Calibri"/>
                <w:b w:val="0"/>
                <w:color w:val="111827"/>
                <w:sz w:val="16"/>
              </w:rPr>
              <w:t>Brightness ICT B.V., Brightness India B.V. of Brightness Software Development (I) Private Limited is verantwoordelijke voor eigen prospect-, contract- en factuuradministratie.</w:t>
            </w:r>
          </w:p>
        </w:tc>
      </w:tr>
      <w:tr>
        <w:trPr>
          <w:cantSplit/>
        </w:trPr>
        <w:tc>
          <w:tcPr>
            <w:tcW w:type="dxa" w:w="2350"/>
            <w:tcMar>
              <w:top w:w="90" w:type="dxa"/>
              <w:start w:w="120" w:type="dxa"/>
              <w:bottom w:w="90" w:type="dxa"/>
              <w:end w:w="120" w:type="dxa"/>
            </w:tcMar>
            <w:vAlign w:val="center"/>
          </w:tcPr>
          <w:p>
            <w:pPr>
              <w:spacing w:after="0"/>
            </w:pPr>
            <w:r>
              <w:rPr>
                <w:rFonts w:ascii="Calibri" w:hAnsi="Calibri"/>
                <w:b w:val="0"/>
                <w:color w:val="111827"/>
                <w:sz w:val="16"/>
              </w:rPr>
              <w:t>Klantdata in een Dienst</w:t>
            </w:r>
          </w:p>
        </w:tc>
        <w:tc>
          <w:tcPr>
            <w:tcW w:type="dxa" w:w="2350"/>
            <w:tcMar>
              <w:top w:w="90" w:type="dxa"/>
              <w:start w:w="120" w:type="dxa"/>
              <w:bottom w:w="90" w:type="dxa"/>
              <w:end w:w="120" w:type="dxa"/>
            </w:tcMar>
            <w:vAlign w:val="center"/>
          </w:tcPr>
          <w:p>
            <w:pPr>
              <w:spacing w:after="0"/>
            </w:pPr>
            <w:r>
              <w:rPr>
                <w:rFonts w:ascii="Calibri" w:hAnsi="Calibri"/>
                <w:b w:val="0"/>
                <w:color w:val="111827"/>
                <w:sz w:val="16"/>
              </w:rPr>
              <w:t>Doorgaans de klant</w:t>
            </w:r>
          </w:p>
        </w:tc>
        <w:tc>
          <w:tcPr>
            <w:tcW w:type="dxa" w:w="4711"/>
            <w:tcMar>
              <w:top w:w="90" w:type="dxa"/>
              <w:start w:w="120" w:type="dxa"/>
              <w:bottom w:w="90" w:type="dxa"/>
              <w:end w:w="120" w:type="dxa"/>
            </w:tcMar>
            <w:vAlign w:val="center"/>
          </w:tcPr>
          <w:p>
            <w:pPr>
              <w:spacing w:after="0"/>
            </w:pPr>
            <w:r>
              <w:rPr>
                <w:rFonts w:ascii="Calibri" w:hAnsi="Calibri"/>
                <w:b w:val="0"/>
                <w:color w:val="111827"/>
                <w:sz w:val="16"/>
              </w:rPr>
              <w:t>De aangewezen Brightness-entiteit handelt normaal als verwerker. Zie de Verwerkersovereenkomst.</w:t>
            </w:r>
          </w:p>
        </w:tc>
      </w:tr>
    </w:tbl>
    <w:p>
      <w:pPr>
        <w:spacing w:after="0"/>
      </w:pPr>
    </w:p>
    <w:p>
      <w:pPr>
        <w:keepLines w:val="0"/>
        <w:spacing w:after="120"/>
      </w:pPr>
      <w:r>
        <w:rPr>
          <w:rFonts w:ascii="Calibri" w:hAnsi="Calibri"/>
          <w:i w:val="0"/>
        </w:rPr>
        <w:t>Wanneer Brightness ICT B.V. een aanvraag doorstuurt naar een andere Brightness-entiteit, wordt die ontvangende entiteit zelfstandig verantwoordelijke voor haar eigen opvolging. De entiteiten worden niet gezamenlijk verantwoordelijk enkel doordat zij merk, systemen of contacten delen.</w:t>
      </w:r>
    </w:p>
    <w:p>
      <w:pPr>
        <w:pStyle w:val="Heading1"/>
        <w:keepNext/>
      </w:pPr>
      <w:r>
        <w:t>2. Contactgegevens</w:t>
      </w:r>
    </w:p>
    <w:tbl>
      <w:tblPr>
        <w:tblStyle w:val="TableGrid"/>
        <w:tblW w:type="dxa" w:w="9411"/>
        <w:jc w:val="left"/>
        <w:tblLayout w:type="fixed"/>
        <w:tblLook w:firstColumn="1" w:firstRow="1" w:lastColumn="0" w:lastRow="0" w:noHBand="0" w:noVBand="1" w:val="04A0"/>
        <w:tblInd w:w="120" w:type="dxa"/>
      </w:tblPr>
      <w:tblGrid>
        <w:gridCol w:w="2050"/>
        <w:gridCol w:w="2450"/>
        <w:gridCol w:w="1250"/>
        <w:gridCol w:w="3661"/>
      </w:tblGrid>
      <w:tr>
        <w:trPr>
          <w:tblHeader w:val="true"/>
          <w:cantSplit/>
        </w:trPr>
        <w:tc>
          <w:tcPr>
            <w:tcW w:type="dxa" w:w="2050"/>
            <w:shd w:fill="17324D"/>
            <w:tcMar>
              <w:top w:w="90" w:type="dxa"/>
              <w:start w:w="120" w:type="dxa"/>
              <w:bottom w:w="90" w:type="dxa"/>
              <w:end w:w="120" w:type="dxa"/>
            </w:tcMar>
            <w:vAlign w:val="center"/>
          </w:tcPr>
          <w:p>
            <w:pPr>
              <w:spacing w:after="0"/>
            </w:pPr>
            <w:r>
              <w:rPr>
                <w:rFonts w:ascii="Calibri" w:hAnsi="Calibri"/>
                <w:b/>
                <w:color w:val="FFFFFF"/>
                <w:sz w:val="15"/>
              </w:rPr>
              <w:t>Juridische entiteit</w:t>
            </w:r>
          </w:p>
        </w:tc>
        <w:tc>
          <w:tcPr>
            <w:tcW w:type="dxa" w:w="2450"/>
            <w:shd w:fill="17324D"/>
            <w:tcMar>
              <w:top w:w="90" w:type="dxa"/>
              <w:start w:w="120" w:type="dxa"/>
              <w:bottom w:w="90" w:type="dxa"/>
              <w:end w:w="120" w:type="dxa"/>
            </w:tcMar>
            <w:vAlign w:val="center"/>
          </w:tcPr>
          <w:p>
            <w:pPr>
              <w:spacing w:after="0"/>
            </w:pPr>
            <w:r>
              <w:rPr>
                <w:rFonts w:ascii="Calibri" w:hAnsi="Calibri"/>
                <w:b/>
                <w:color w:val="FFFFFF"/>
                <w:sz w:val="15"/>
              </w:rPr>
              <w:t>Vestigingsadres</w:t>
            </w:r>
          </w:p>
        </w:tc>
        <w:tc>
          <w:tcPr>
            <w:tcW w:type="dxa" w:w="1250"/>
            <w:shd w:fill="17324D"/>
            <w:tcMar>
              <w:top w:w="90" w:type="dxa"/>
              <w:start w:w="120" w:type="dxa"/>
              <w:bottom w:w="90" w:type="dxa"/>
              <w:end w:w="120" w:type="dxa"/>
            </w:tcMar>
            <w:vAlign w:val="center"/>
          </w:tcPr>
          <w:p>
            <w:pPr>
              <w:spacing w:after="0"/>
            </w:pPr>
            <w:r>
              <w:rPr>
                <w:rFonts w:ascii="Calibri" w:hAnsi="Calibri"/>
                <w:b/>
                <w:color w:val="FFFFFF"/>
                <w:sz w:val="15"/>
              </w:rPr>
              <w:t>Registratie</w:t>
            </w:r>
          </w:p>
        </w:tc>
        <w:tc>
          <w:tcPr>
            <w:tcW w:type="dxa" w:w="3661"/>
            <w:shd w:fill="17324D"/>
            <w:tcMar>
              <w:top w:w="90" w:type="dxa"/>
              <w:start w:w="120" w:type="dxa"/>
              <w:bottom w:w="90" w:type="dxa"/>
              <w:end w:w="120" w:type="dxa"/>
            </w:tcMar>
            <w:vAlign w:val="center"/>
          </w:tcPr>
          <w:p>
            <w:pPr>
              <w:spacing w:after="0"/>
            </w:pPr>
            <w:r>
              <w:rPr>
                <w:rFonts w:ascii="Calibri" w:hAnsi="Calibri"/>
                <w:b/>
                <w:color w:val="FFFFFF"/>
                <w:sz w:val="15"/>
              </w:rPr>
              <w:t>Operationele rol</w:t>
            </w:r>
          </w:p>
        </w:tc>
      </w:tr>
      <w:tr>
        <w:trPr>
          <w:cantSplit/>
        </w:trPr>
        <w:tc>
          <w:tcPr>
            <w:tcW w:type="dxa" w:w="2050"/>
            <w:tcMar>
              <w:top w:w="90" w:type="dxa"/>
              <w:start w:w="120" w:type="dxa"/>
              <w:bottom w:w="90" w:type="dxa"/>
              <w:end w:w="120" w:type="dxa"/>
            </w:tcMar>
            <w:vAlign w:val="center"/>
          </w:tcPr>
          <w:p>
            <w:pPr>
              <w:spacing w:after="0"/>
            </w:pPr>
            <w:r>
              <w:rPr>
                <w:rFonts w:ascii="Calibri" w:hAnsi="Calibri"/>
                <w:b w:val="0"/>
                <w:color w:val="111827"/>
                <w:sz w:val="15"/>
              </w:rPr>
              <w:t>Brightness ICT B.V.</w:t>
            </w:r>
          </w:p>
        </w:tc>
        <w:tc>
          <w:tcPr>
            <w:tcW w:type="dxa" w:w="2450"/>
            <w:tcMar>
              <w:top w:w="90" w:type="dxa"/>
              <w:start w:w="120" w:type="dxa"/>
              <w:bottom w:w="90" w:type="dxa"/>
              <w:end w:w="120" w:type="dxa"/>
            </w:tcMar>
            <w:vAlign w:val="center"/>
          </w:tcPr>
          <w:p>
            <w:pPr>
              <w:spacing w:after="0"/>
            </w:pPr>
            <w:r>
              <w:rPr>
                <w:rFonts w:ascii="Calibri" w:hAnsi="Calibri"/>
                <w:b w:val="0"/>
                <w:color w:val="111827"/>
                <w:sz w:val="15"/>
              </w:rPr>
              <w:t>Graftermeerstraat 22c, 2131 AC Hoofddorp, Nederland</w:t>
            </w:r>
          </w:p>
        </w:tc>
        <w:tc>
          <w:tcPr>
            <w:tcW w:type="dxa" w:w="1250"/>
            <w:tcMar>
              <w:top w:w="90" w:type="dxa"/>
              <w:start w:w="120" w:type="dxa"/>
              <w:bottom w:w="90" w:type="dxa"/>
              <w:end w:w="120" w:type="dxa"/>
            </w:tcMar>
            <w:vAlign w:val="center"/>
          </w:tcPr>
          <w:p>
            <w:pPr>
              <w:spacing w:after="0"/>
            </w:pPr>
            <w:r>
              <w:rPr>
                <w:rFonts w:ascii="Calibri" w:hAnsi="Calibri"/>
                <w:b w:val="0"/>
                <w:color w:val="111827"/>
                <w:sz w:val="15"/>
              </w:rPr>
              <w:t>KvK 63772493</w:t>
            </w:r>
          </w:p>
        </w:tc>
        <w:tc>
          <w:tcPr>
            <w:tcW w:type="dxa" w:w="3661"/>
            <w:tcMar>
              <w:top w:w="90" w:type="dxa"/>
              <w:start w:w="120" w:type="dxa"/>
              <w:bottom w:w="90" w:type="dxa"/>
              <w:end w:w="120" w:type="dxa"/>
            </w:tcMar>
            <w:vAlign w:val="center"/>
          </w:tcPr>
          <w:p>
            <w:pPr>
              <w:spacing w:after="0"/>
            </w:pPr>
            <w:r>
              <w:rPr>
                <w:rFonts w:ascii="Calibri" w:hAnsi="Calibri"/>
                <w:b w:val="0"/>
                <w:color w:val="111827"/>
                <w:sz w:val="15"/>
              </w:rPr>
              <w:t>Beheerder van brightness-group.com; centrale groepsaanvragen; ontwikkeling, implementatie, configuratie en maatwerk.</w:t>
            </w:r>
          </w:p>
        </w:tc>
      </w:tr>
      <w:tr>
        <w:trPr>
          <w:cantSplit/>
        </w:trPr>
        <w:tc>
          <w:tcPr>
            <w:tcW w:type="dxa" w:w="2050"/>
            <w:tcMar>
              <w:top w:w="90" w:type="dxa"/>
              <w:start w:w="120" w:type="dxa"/>
              <w:bottom w:w="90" w:type="dxa"/>
              <w:end w:w="120" w:type="dxa"/>
            </w:tcMar>
            <w:vAlign w:val="center"/>
          </w:tcPr>
          <w:p>
            <w:pPr>
              <w:spacing w:after="0"/>
            </w:pPr>
            <w:r>
              <w:rPr>
                <w:rFonts w:ascii="Calibri" w:hAnsi="Calibri"/>
                <w:b w:val="0"/>
                <w:color w:val="111827"/>
                <w:sz w:val="15"/>
              </w:rPr>
              <w:t>Brightness Subscriptions B.V.</w:t>
            </w:r>
          </w:p>
        </w:tc>
        <w:tc>
          <w:tcPr>
            <w:tcW w:type="dxa" w:w="2450"/>
            <w:tcMar>
              <w:top w:w="90" w:type="dxa"/>
              <w:start w:w="120" w:type="dxa"/>
              <w:bottom w:w="90" w:type="dxa"/>
              <w:end w:w="120" w:type="dxa"/>
            </w:tcMar>
            <w:vAlign w:val="center"/>
          </w:tcPr>
          <w:p>
            <w:pPr>
              <w:spacing w:after="0"/>
            </w:pPr>
            <w:r>
              <w:rPr>
                <w:rFonts w:ascii="Calibri" w:hAnsi="Calibri"/>
                <w:b w:val="0"/>
                <w:color w:val="111827"/>
                <w:sz w:val="15"/>
              </w:rPr>
              <w:t>Graftermeerstraat 22c, 2131 AC Hoofddorp, Nederland</w:t>
            </w:r>
          </w:p>
        </w:tc>
        <w:tc>
          <w:tcPr>
            <w:tcW w:type="dxa" w:w="1250"/>
            <w:tcMar>
              <w:top w:w="90" w:type="dxa"/>
              <w:start w:w="120" w:type="dxa"/>
              <w:bottom w:w="90" w:type="dxa"/>
              <w:end w:w="120" w:type="dxa"/>
            </w:tcMar>
            <w:vAlign w:val="center"/>
          </w:tcPr>
          <w:p>
            <w:pPr>
              <w:spacing w:after="0"/>
            </w:pPr>
            <w:r>
              <w:rPr>
                <w:rFonts w:ascii="Calibri" w:hAnsi="Calibri"/>
                <w:b w:val="0"/>
                <w:color w:val="111827"/>
                <w:sz w:val="15"/>
              </w:rPr>
              <w:t>KvK 81921985</w:t>
            </w:r>
          </w:p>
        </w:tc>
        <w:tc>
          <w:tcPr>
            <w:tcW w:type="dxa" w:w="3661"/>
            <w:tcMar>
              <w:top w:w="90" w:type="dxa"/>
              <w:start w:w="120" w:type="dxa"/>
              <w:bottom w:w="90" w:type="dxa"/>
              <w:end w:w="120" w:type="dxa"/>
            </w:tcMar>
            <w:vAlign w:val="center"/>
          </w:tcPr>
          <w:p>
            <w:pPr>
              <w:spacing w:after="0"/>
            </w:pPr>
            <w:r>
              <w:rPr>
                <w:rFonts w:ascii="Calibri" w:hAnsi="Calibri"/>
                <w:b w:val="0"/>
                <w:color w:val="111827"/>
                <w:sz w:val="15"/>
              </w:rPr>
              <w:t>SparkleCloud, sparklecloud.ai, SaaS, hosting, opslag, licenties, onderhoud, updates, support en SLA.</w:t>
            </w:r>
          </w:p>
        </w:tc>
      </w:tr>
      <w:tr>
        <w:trPr>
          <w:cantSplit/>
        </w:trPr>
        <w:tc>
          <w:tcPr>
            <w:tcW w:type="dxa" w:w="2050"/>
            <w:tcMar>
              <w:top w:w="90" w:type="dxa"/>
              <w:start w:w="120" w:type="dxa"/>
              <w:bottom w:w="90" w:type="dxa"/>
              <w:end w:w="120" w:type="dxa"/>
            </w:tcMar>
            <w:vAlign w:val="center"/>
          </w:tcPr>
          <w:p>
            <w:pPr>
              <w:spacing w:after="0"/>
            </w:pPr>
            <w:r>
              <w:rPr>
                <w:rFonts w:ascii="Calibri" w:hAnsi="Calibri"/>
                <w:b w:val="0"/>
                <w:color w:val="111827"/>
                <w:sz w:val="15"/>
              </w:rPr>
              <w:t>Brightness India B.V.</w:t>
            </w:r>
          </w:p>
        </w:tc>
        <w:tc>
          <w:tcPr>
            <w:tcW w:type="dxa" w:w="2450"/>
            <w:tcMar>
              <w:top w:w="90" w:type="dxa"/>
              <w:start w:w="120" w:type="dxa"/>
              <w:bottom w:w="90" w:type="dxa"/>
              <w:end w:w="120" w:type="dxa"/>
            </w:tcMar>
            <w:vAlign w:val="center"/>
          </w:tcPr>
          <w:p>
            <w:pPr>
              <w:spacing w:after="0"/>
            </w:pPr>
            <w:r>
              <w:rPr>
                <w:rFonts w:ascii="Calibri" w:hAnsi="Calibri"/>
                <w:b w:val="0"/>
                <w:color w:val="111827"/>
                <w:sz w:val="15"/>
              </w:rPr>
              <w:t>Graftermeerstraat 22c, 2131 AC Hoofddorp, Nederland</w:t>
            </w:r>
          </w:p>
        </w:tc>
        <w:tc>
          <w:tcPr>
            <w:tcW w:type="dxa" w:w="1250"/>
            <w:tcMar>
              <w:top w:w="90" w:type="dxa"/>
              <w:start w:w="120" w:type="dxa"/>
              <w:bottom w:w="90" w:type="dxa"/>
              <w:end w:w="120" w:type="dxa"/>
            </w:tcMar>
            <w:vAlign w:val="center"/>
          </w:tcPr>
          <w:p>
            <w:pPr>
              <w:spacing w:after="0"/>
            </w:pPr>
            <w:r>
              <w:rPr>
                <w:rFonts w:ascii="Calibri" w:hAnsi="Calibri"/>
                <w:b w:val="0"/>
                <w:color w:val="111827"/>
                <w:sz w:val="15"/>
              </w:rPr>
              <w:t>KvK 63516136</w:t>
            </w:r>
          </w:p>
        </w:tc>
        <w:tc>
          <w:tcPr>
            <w:tcW w:type="dxa" w:w="3661"/>
            <w:tcMar>
              <w:top w:w="90" w:type="dxa"/>
              <w:start w:w="120" w:type="dxa"/>
              <w:bottom w:w="90" w:type="dxa"/>
              <w:end w:w="120" w:type="dxa"/>
            </w:tcMar>
            <w:vAlign w:val="center"/>
          </w:tcPr>
          <w:p>
            <w:pPr>
              <w:spacing w:after="0"/>
            </w:pPr>
            <w:r>
              <w:rPr>
                <w:rFonts w:ascii="Calibri" w:hAnsi="Calibri"/>
                <w:b w:val="0"/>
                <w:color w:val="111827"/>
                <w:sz w:val="15"/>
              </w:rPr>
              <w:t>Zelfstandige softwareontwikkeling en uitvoering voor Brightness ICT B.V. wanneer uitdrukkelijk aangewezen.</w:t>
            </w:r>
          </w:p>
        </w:tc>
      </w:tr>
      <w:tr>
        <w:trPr>
          <w:cantSplit/>
        </w:trPr>
        <w:tc>
          <w:tcPr>
            <w:tcW w:type="dxa" w:w="2050"/>
            <w:tcMar>
              <w:top w:w="90" w:type="dxa"/>
              <w:start w:w="120" w:type="dxa"/>
              <w:bottom w:w="90" w:type="dxa"/>
              <w:end w:w="120" w:type="dxa"/>
            </w:tcMar>
            <w:vAlign w:val="center"/>
          </w:tcPr>
          <w:p>
            <w:pPr>
              <w:spacing w:after="0"/>
            </w:pPr>
            <w:r>
              <w:rPr>
                <w:rFonts w:ascii="Calibri" w:hAnsi="Calibri"/>
                <w:b w:val="0"/>
                <w:color w:val="111827"/>
                <w:sz w:val="15"/>
              </w:rPr>
              <w:t>Brightness Software Development (I) Private Limited</w:t>
            </w:r>
          </w:p>
        </w:tc>
        <w:tc>
          <w:tcPr>
            <w:tcW w:type="dxa" w:w="2450"/>
            <w:tcMar>
              <w:top w:w="90" w:type="dxa"/>
              <w:start w:w="120" w:type="dxa"/>
              <w:bottom w:w="90" w:type="dxa"/>
              <w:end w:w="120" w:type="dxa"/>
            </w:tcMar>
            <w:vAlign w:val="center"/>
          </w:tcPr>
          <w:p>
            <w:pPr>
              <w:spacing w:after="0"/>
            </w:pPr>
            <w:r>
              <w:rPr>
                <w:rFonts w:ascii="Calibri" w:hAnsi="Calibri"/>
                <w:b w:val="0"/>
                <w:color w:val="111827"/>
                <w:sz w:val="15"/>
              </w:rPr>
              <w:t>503, Satya One, Opp. R3 The Mall, Drive-in Road, Manav Mandir, Memnagar, Ahmedabad 380052, Gujarat, India</w:t>
            </w:r>
          </w:p>
        </w:tc>
        <w:tc>
          <w:tcPr>
            <w:tcW w:type="dxa" w:w="1250"/>
            <w:tcMar>
              <w:top w:w="90" w:type="dxa"/>
              <w:start w:w="120" w:type="dxa"/>
              <w:bottom w:w="90" w:type="dxa"/>
              <w:end w:w="120" w:type="dxa"/>
            </w:tcMar>
            <w:vAlign w:val="center"/>
          </w:tcPr>
          <w:p>
            <w:pPr>
              <w:spacing w:after="0"/>
            </w:pPr>
            <w:r>
              <w:rPr>
                <w:rFonts w:ascii="Calibri" w:hAnsi="Calibri"/>
                <w:b w:val="0"/>
                <w:color w:val="111827"/>
                <w:sz w:val="15"/>
              </w:rPr>
              <w:t>CIN U72300GJ2015PTC082977</w:t>
            </w:r>
          </w:p>
        </w:tc>
        <w:tc>
          <w:tcPr>
            <w:tcW w:type="dxa" w:w="3661"/>
            <w:tcMar>
              <w:top w:w="90" w:type="dxa"/>
              <w:start w:w="120" w:type="dxa"/>
              <w:bottom w:w="90" w:type="dxa"/>
              <w:end w:w="120" w:type="dxa"/>
            </w:tcMar>
            <w:vAlign w:val="center"/>
          </w:tcPr>
          <w:p>
            <w:pPr>
              <w:spacing w:after="0"/>
            </w:pPr>
            <w:r>
              <w:rPr>
                <w:rFonts w:ascii="Calibri" w:hAnsi="Calibri"/>
                <w:b w:val="0"/>
                <w:color w:val="111827"/>
                <w:sz w:val="15"/>
              </w:rPr>
              <w:t>Zelfstandige Indiase softwareontwikkeling en feitelijke uitvoering vanuit India wanneer uitdrukkelijk aangewezen.</w:t>
            </w:r>
          </w:p>
        </w:tc>
      </w:tr>
    </w:tbl>
    <w:p>
      <w:pPr>
        <w:spacing w:after="0"/>
      </w:pPr>
    </w:p>
    <w:p>
      <w:pPr>
        <w:keepLines w:val="0"/>
        <w:spacing w:after="120"/>
      </w:pPr>
      <w:r>
        <w:rPr>
          <w:rFonts w:ascii="Calibri" w:hAnsi="Calibri"/>
          <w:i w:val="0"/>
        </w:rPr>
        <w:t>Privacyverzoeken: support@brightness-group.com. Urgente beveiligingszaken: +31 23 557 4211. De relevante verantwoordelijke is de hierboven of in de offerte aangewezen entiteit.</w:t>
      </w:r>
    </w:p>
    <w:p>
      <w:pPr>
        <w:pStyle w:val="Heading1"/>
        <w:keepNext/>
      </w:pPr>
      <w:r>
        <w:t>3. Gegevens, doelen, grondslagen en bewaring</w:t>
      </w:r>
    </w:p>
    <w:tbl>
      <w:tblPr>
        <w:tblStyle w:val="TableGrid"/>
        <w:tblW w:type="dxa" w:w="9411"/>
        <w:jc w:val="left"/>
        <w:tblLayout w:type="fixed"/>
        <w:tblLook w:firstColumn="1" w:firstRow="1" w:lastColumn="0" w:lastRow="0" w:noHBand="0" w:noVBand="1" w:val="04A0"/>
        <w:tblInd w:w="120" w:type="dxa"/>
      </w:tblPr>
      <w:tblGrid>
        <w:gridCol w:w="1550"/>
        <w:gridCol w:w="2000"/>
        <w:gridCol w:w="2050"/>
        <w:gridCol w:w="1600"/>
        <w:gridCol w:w="2211"/>
      </w:tblGrid>
      <w:tr>
        <w:trPr>
          <w:tblHeader w:val="true"/>
          <w:cantSplit/>
        </w:trPr>
        <w:tc>
          <w:tcPr>
            <w:tcW w:type="dxa" w:w="1550"/>
            <w:shd w:fill="17324D"/>
            <w:tcMar>
              <w:top w:w="90" w:type="dxa"/>
              <w:start w:w="120" w:type="dxa"/>
              <w:bottom w:w="90" w:type="dxa"/>
              <w:end w:w="120" w:type="dxa"/>
            </w:tcMar>
            <w:vAlign w:val="center"/>
          </w:tcPr>
          <w:p>
            <w:pPr>
              <w:spacing w:after="0"/>
            </w:pPr>
            <w:r>
              <w:rPr>
                <w:rFonts w:ascii="Calibri" w:hAnsi="Calibri"/>
                <w:b/>
                <w:color w:val="FFFFFF"/>
                <w:sz w:val="14"/>
              </w:rPr>
              <w:t>Activiteit</w:t>
            </w:r>
          </w:p>
        </w:tc>
        <w:tc>
          <w:tcPr>
            <w:tcW w:type="dxa" w:w="2000"/>
            <w:shd w:fill="17324D"/>
            <w:tcMar>
              <w:top w:w="90" w:type="dxa"/>
              <w:start w:w="120" w:type="dxa"/>
              <w:bottom w:w="90" w:type="dxa"/>
              <w:end w:w="120" w:type="dxa"/>
            </w:tcMar>
            <w:vAlign w:val="center"/>
          </w:tcPr>
          <w:p>
            <w:pPr>
              <w:spacing w:after="0"/>
            </w:pPr>
            <w:r>
              <w:rPr>
                <w:rFonts w:ascii="Calibri" w:hAnsi="Calibri"/>
                <w:b/>
                <w:color w:val="FFFFFF"/>
                <w:sz w:val="14"/>
              </w:rPr>
              <w:t>Gegevens</w:t>
            </w:r>
          </w:p>
        </w:tc>
        <w:tc>
          <w:tcPr>
            <w:tcW w:type="dxa" w:w="2050"/>
            <w:shd w:fill="17324D"/>
            <w:tcMar>
              <w:top w:w="90" w:type="dxa"/>
              <w:start w:w="120" w:type="dxa"/>
              <w:bottom w:w="90" w:type="dxa"/>
              <w:end w:w="120" w:type="dxa"/>
            </w:tcMar>
            <w:vAlign w:val="center"/>
          </w:tcPr>
          <w:p>
            <w:pPr>
              <w:spacing w:after="0"/>
            </w:pPr>
            <w:r>
              <w:rPr>
                <w:rFonts w:ascii="Calibri" w:hAnsi="Calibri"/>
                <w:b/>
                <w:color w:val="FFFFFF"/>
                <w:sz w:val="14"/>
              </w:rPr>
              <w:t>Doel</w:t>
            </w:r>
          </w:p>
        </w:tc>
        <w:tc>
          <w:tcPr>
            <w:tcW w:type="dxa" w:w="1600"/>
            <w:shd w:fill="17324D"/>
            <w:tcMar>
              <w:top w:w="90" w:type="dxa"/>
              <w:start w:w="120" w:type="dxa"/>
              <w:bottom w:w="90" w:type="dxa"/>
              <w:end w:w="120" w:type="dxa"/>
            </w:tcMar>
            <w:vAlign w:val="center"/>
          </w:tcPr>
          <w:p>
            <w:pPr>
              <w:spacing w:after="0"/>
            </w:pPr>
            <w:r>
              <w:rPr>
                <w:rFonts w:ascii="Calibri" w:hAnsi="Calibri"/>
                <w:b/>
                <w:color w:val="FFFFFF"/>
                <w:sz w:val="14"/>
              </w:rPr>
              <w:t>Grondslag</w:t>
            </w:r>
          </w:p>
        </w:tc>
        <w:tc>
          <w:tcPr>
            <w:tcW w:type="dxa" w:w="2211"/>
            <w:shd w:fill="17324D"/>
            <w:tcMar>
              <w:top w:w="90" w:type="dxa"/>
              <w:start w:w="120" w:type="dxa"/>
              <w:bottom w:w="90" w:type="dxa"/>
              <w:end w:w="120" w:type="dxa"/>
            </w:tcMar>
            <w:vAlign w:val="center"/>
          </w:tcPr>
          <w:p>
            <w:pPr>
              <w:spacing w:after="0"/>
            </w:pPr>
            <w:r>
              <w:rPr>
                <w:rFonts w:ascii="Calibri" w:hAnsi="Calibri"/>
                <w:b/>
                <w:color w:val="FFFFFF"/>
                <w:sz w:val="14"/>
              </w:rPr>
              <w:t>Bewaring</w:t>
            </w:r>
          </w:p>
        </w:tc>
      </w:tr>
      <w:tr>
        <w:trPr>
          <w:cantSplit/>
        </w:trPr>
        <w:tc>
          <w:tcPr>
            <w:tcW w:type="dxa" w:w="1550"/>
            <w:tcMar>
              <w:top w:w="90" w:type="dxa"/>
              <w:start w:w="120" w:type="dxa"/>
              <w:bottom w:w="90" w:type="dxa"/>
              <w:end w:w="120" w:type="dxa"/>
            </w:tcMar>
            <w:vAlign w:val="center"/>
          </w:tcPr>
          <w:p>
            <w:pPr>
              <w:spacing w:after="0"/>
            </w:pPr>
            <w:r>
              <w:rPr>
                <w:rFonts w:ascii="Calibri" w:hAnsi="Calibri"/>
                <w:b w:val="0"/>
                <w:color w:val="111827"/>
                <w:sz w:val="14"/>
              </w:rPr>
              <w:t>Website- en beveiligingslogs</w:t>
            </w:r>
          </w:p>
        </w:tc>
        <w:tc>
          <w:tcPr>
            <w:tcW w:type="dxa" w:w="2000"/>
            <w:tcMar>
              <w:top w:w="90" w:type="dxa"/>
              <w:start w:w="120" w:type="dxa"/>
              <w:bottom w:w="90" w:type="dxa"/>
              <w:end w:w="120" w:type="dxa"/>
            </w:tcMar>
            <w:vAlign w:val="center"/>
          </w:tcPr>
          <w:p>
            <w:pPr>
              <w:spacing w:after="0"/>
            </w:pPr>
            <w:r>
              <w:rPr>
                <w:rFonts w:ascii="Calibri" w:hAnsi="Calibri"/>
                <w:b w:val="0"/>
                <w:color w:val="111827"/>
                <w:sz w:val="14"/>
              </w:rPr>
              <w:t>IP-adres, apparaat/browser, tijd, URL en beveiligingsgebeurtenissen</w:t>
            </w:r>
          </w:p>
        </w:tc>
        <w:tc>
          <w:tcPr>
            <w:tcW w:type="dxa" w:w="2050"/>
            <w:tcMar>
              <w:top w:w="90" w:type="dxa"/>
              <w:start w:w="120" w:type="dxa"/>
              <w:bottom w:w="90" w:type="dxa"/>
              <w:end w:w="120" w:type="dxa"/>
            </w:tcMar>
            <w:vAlign w:val="center"/>
          </w:tcPr>
          <w:p>
            <w:pPr>
              <w:spacing w:after="0"/>
            </w:pPr>
            <w:r>
              <w:rPr>
                <w:rFonts w:ascii="Calibri" w:hAnsi="Calibri"/>
                <w:b w:val="0"/>
                <w:color w:val="111827"/>
                <w:sz w:val="14"/>
              </w:rPr>
              <w:t>Websites beveiligen en beheren; misbruik voorkomen</w:t>
            </w:r>
          </w:p>
        </w:tc>
        <w:tc>
          <w:tcPr>
            <w:tcW w:type="dxa" w:w="1600"/>
            <w:tcMar>
              <w:top w:w="90" w:type="dxa"/>
              <w:start w:w="120" w:type="dxa"/>
              <w:bottom w:w="90" w:type="dxa"/>
              <w:end w:w="120" w:type="dxa"/>
            </w:tcMar>
            <w:vAlign w:val="center"/>
          </w:tcPr>
          <w:p>
            <w:pPr>
              <w:spacing w:after="0"/>
            </w:pPr>
            <w:r>
              <w:rPr>
                <w:rFonts w:ascii="Calibri" w:hAnsi="Calibri"/>
                <w:b w:val="0"/>
                <w:color w:val="111827"/>
                <w:sz w:val="14"/>
              </w:rPr>
              <w:t>Gerechtvaardigd belang en wettelijke beveiligingsplichten</w:t>
            </w:r>
          </w:p>
        </w:tc>
        <w:tc>
          <w:tcPr>
            <w:tcW w:type="dxa" w:w="2211"/>
            <w:tcMar>
              <w:top w:w="90" w:type="dxa"/>
              <w:start w:w="120" w:type="dxa"/>
              <w:bottom w:w="90" w:type="dxa"/>
              <w:end w:w="120" w:type="dxa"/>
            </w:tcMar>
            <w:vAlign w:val="center"/>
          </w:tcPr>
          <w:p>
            <w:pPr>
              <w:spacing w:after="0"/>
            </w:pPr>
            <w:r>
              <w:rPr>
                <w:rFonts w:ascii="Calibri" w:hAnsi="Calibri"/>
                <w:b w:val="0"/>
                <w:color w:val="111827"/>
                <w:sz w:val="14"/>
              </w:rPr>
              <w:t>Normaal maximaal 12 maanden; langer bij incident of juridische claim</w:t>
            </w:r>
          </w:p>
        </w:tc>
      </w:tr>
      <w:tr>
        <w:trPr>
          <w:cantSplit/>
        </w:trPr>
        <w:tc>
          <w:tcPr>
            <w:tcW w:type="dxa" w:w="1550"/>
            <w:tcMar>
              <w:top w:w="90" w:type="dxa"/>
              <w:start w:w="120" w:type="dxa"/>
              <w:bottom w:w="90" w:type="dxa"/>
              <w:end w:w="120" w:type="dxa"/>
            </w:tcMar>
            <w:vAlign w:val="center"/>
          </w:tcPr>
          <w:p>
            <w:pPr>
              <w:spacing w:after="0"/>
            </w:pPr>
            <w:r>
              <w:rPr>
                <w:rFonts w:ascii="Calibri" w:hAnsi="Calibri"/>
                <w:b w:val="0"/>
                <w:color w:val="111827"/>
                <w:sz w:val="14"/>
              </w:rPr>
              <w:t>Contact en offerte</w:t>
            </w:r>
          </w:p>
        </w:tc>
        <w:tc>
          <w:tcPr>
            <w:tcW w:type="dxa" w:w="2000"/>
            <w:tcMar>
              <w:top w:w="90" w:type="dxa"/>
              <w:start w:w="120" w:type="dxa"/>
              <w:bottom w:w="90" w:type="dxa"/>
              <w:end w:w="120" w:type="dxa"/>
            </w:tcMar>
            <w:vAlign w:val="center"/>
          </w:tcPr>
          <w:p>
            <w:pPr>
              <w:spacing w:after="0"/>
            </w:pPr>
            <w:r>
              <w:rPr>
                <w:rFonts w:ascii="Calibri" w:hAnsi="Calibri"/>
                <w:b w:val="0"/>
                <w:color w:val="111827"/>
                <w:sz w:val="14"/>
              </w:rPr>
              <w:t>Naam, zakelijke contactgegevens, organisatie, aanvraag en correspondentie</w:t>
            </w:r>
          </w:p>
        </w:tc>
        <w:tc>
          <w:tcPr>
            <w:tcW w:type="dxa" w:w="2050"/>
            <w:tcMar>
              <w:top w:w="90" w:type="dxa"/>
              <w:start w:w="120" w:type="dxa"/>
              <w:bottom w:w="90" w:type="dxa"/>
              <w:end w:w="120" w:type="dxa"/>
            </w:tcMar>
            <w:vAlign w:val="center"/>
          </w:tcPr>
          <w:p>
            <w:pPr>
              <w:spacing w:after="0"/>
            </w:pPr>
            <w:r>
              <w:rPr>
                <w:rFonts w:ascii="Calibri" w:hAnsi="Calibri"/>
                <w:b w:val="0"/>
                <w:color w:val="111827"/>
                <w:sz w:val="14"/>
              </w:rPr>
              <w:t>Reageren, eisen beoordelen en offerte maken en opvolgen</w:t>
            </w:r>
          </w:p>
        </w:tc>
        <w:tc>
          <w:tcPr>
            <w:tcW w:type="dxa" w:w="1600"/>
            <w:tcMar>
              <w:top w:w="90" w:type="dxa"/>
              <w:start w:w="120" w:type="dxa"/>
              <w:bottom w:w="90" w:type="dxa"/>
              <w:end w:w="120" w:type="dxa"/>
            </w:tcMar>
            <w:vAlign w:val="center"/>
          </w:tcPr>
          <w:p>
            <w:pPr>
              <w:spacing w:after="0"/>
            </w:pPr>
            <w:r>
              <w:rPr>
                <w:rFonts w:ascii="Calibri" w:hAnsi="Calibri"/>
                <w:b w:val="0"/>
                <w:color w:val="111827"/>
                <w:sz w:val="14"/>
              </w:rPr>
              <w:t>Precontractuele stappen en gerechtvaardigd belang</w:t>
            </w:r>
          </w:p>
        </w:tc>
        <w:tc>
          <w:tcPr>
            <w:tcW w:type="dxa" w:w="2211"/>
            <w:tcMar>
              <w:top w:w="90" w:type="dxa"/>
              <w:start w:w="120" w:type="dxa"/>
              <w:bottom w:w="90" w:type="dxa"/>
              <w:end w:w="120" w:type="dxa"/>
            </w:tcMar>
            <w:vAlign w:val="center"/>
          </w:tcPr>
          <w:p>
            <w:pPr>
              <w:spacing w:after="0"/>
            </w:pPr>
            <w:r>
              <w:rPr>
                <w:rFonts w:ascii="Calibri" w:hAnsi="Calibri"/>
                <w:b w:val="0"/>
                <w:color w:val="111827"/>
                <w:sz w:val="14"/>
              </w:rPr>
              <w:t>Maximaal 24 maanden na laatste betekenisvolle contact als geen overeenkomst volgt</w:t>
            </w:r>
          </w:p>
        </w:tc>
      </w:tr>
      <w:tr>
        <w:trPr>
          <w:cantSplit/>
        </w:trPr>
        <w:tc>
          <w:tcPr>
            <w:tcW w:type="dxa" w:w="1550"/>
            <w:tcMar>
              <w:top w:w="90" w:type="dxa"/>
              <w:start w:w="120" w:type="dxa"/>
              <w:bottom w:w="90" w:type="dxa"/>
              <w:end w:w="120" w:type="dxa"/>
            </w:tcMar>
            <w:vAlign w:val="center"/>
          </w:tcPr>
          <w:p>
            <w:pPr>
              <w:spacing w:after="0"/>
            </w:pPr>
            <w:r>
              <w:rPr>
                <w:rFonts w:ascii="Calibri" w:hAnsi="Calibri"/>
                <w:b w:val="0"/>
                <w:color w:val="111827"/>
                <w:sz w:val="14"/>
              </w:rPr>
              <w:t>Klant- en leveranciersadministratie</w:t>
            </w:r>
          </w:p>
        </w:tc>
        <w:tc>
          <w:tcPr>
            <w:tcW w:type="dxa" w:w="2000"/>
            <w:tcMar>
              <w:top w:w="90" w:type="dxa"/>
              <w:start w:w="120" w:type="dxa"/>
              <w:bottom w:w="90" w:type="dxa"/>
              <w:end w:w="120" w:type="dxa"/>
            </w:tcMar>
            <w:vAlign w:val="center"/>
          </w:tcPr>
          <w:p>
            <w:pPr>
              <w:spacing w:after="0"/>
            </w:pPr>
            <w:r>
              <w:rPr>
                <w:rFonts w:ascii="Calibri" w:hAnsi="Calibri"/>
                <w:b w:val="0"/>
                <w:color w:val="111827"/>
                <w:sz w:val="14"/>
              </w:rPr>
              <w:t>Contacten, bevoegdheid, contract, facturen, betaling en communicatie</w:t>
            </w:r>
          </w:p>
        </w:tc>
        <w:tc>
          <w:tcPr>
            <w:tcW w:type="dxa" w:w="2050"/>
            <w:tcMar>
              <w:top w:w="90" w:type="dxa"/>
              <w:start w:w="120" w:type="dxa"/>
              <w:bottom w:w="90" w:type="dxa"/>
              <w:end w:w="120" w:type="dxa"/>
            </w:tcMar>
            <w:vAlign w:val="center"/>
          </w:tcPr>
          <w:p>
            <w:pPr>
              <w:spacing w:after="0"/>
            </w:pPr>
            <w:r>
              <w:rPr>
                <w:rFonts w:ascii="Calibri" w:hAnsi="Calibri"/>
                <w:b w:val="0"/>
                <w:color w:val="111827"/>
                <w:sz w:val="14"/>
              </w:rPr>
              <w:t>Overeenkomsten uitvoeren en beheren, financiën, controle en wettelijke naleving</w:t>
            </w:r>
          </w:p>
        </w:tc>
        <w:tc>
          <w:tcPr>
            <w:tcW w:type="dxa" w:w="1600"/>
            <w:tcMar>
              <w:top w:w="90" w:type="dxa"/>
              <w:start w:w="120" w:type="dxa"/>
              <w:bottom w:w="90" w:type="dxa"/>
              <w:end w:w="120" w:type="dxa"/>
            </w:tcMar>
            <w:vAlign w:val="center"/>
          </w:tcPr>
          <w:p>
            <w:pPr>
              <w:spacing w:after="0"/>
            </w:pPr>
            <w:r>
              <w:rPr>
                <w:rFonts w:ascii="Calibri" w:hAnsi="Calibri"/>
                <w:b w:val="0"/>
                <w:color w:val="111827"/>
                <w:sz w:val="14"/>
              </w:rPr>
              <w:t>Overeenkomst, gerechtvaardigd belang en wettelijke plicht</w:t>
            </w:r>
          </w:p>
        </w:tc>
        <w:tc>
          <w:tcPr>
            <w:tcW w:type="dxa" w:w="2211"/>
            <w:tcMar>
              <w:top w:w="90" w:type="dxa"/>
              <w:start w:w="120" w:type="dxa"/>
              <w:bottom w:w="90" w:type="dxa"/>
              <w:end w:w="120" w:type="dxa"/>
            </w:tcMar>
            <w:vAlign w:val="center"/>
          </w:tcPr>
          <w:p>
            <w:pPr>
              <w:spacing w:after="0"/>
            </w:pPr>
            <w:r>
              <w:rPr>
                <w:rFonts w:ascii="Calibri" w:hAnsi="Calibri"/>
                <w:b w:val="0"/>
                <w:color w:val="111827"/>
                <w:sz w:val="14"/>
              </w:rPr>
              <w:t>Contractduur plus verjaringstermijnen; financiële gegevens normaal 7 jaar</w:t>
            </w:r>
          </w:p>
        </w:tc>
      </w:tr>
      <w:tr>
        <w:trPr>
          <w:cantSplit/>
        </w:trPr>
        <w:tc>
          <w:tcPr>
            <w:tcW w:type="dxa" w:w="1550"/>
            <w:tcMar>
              <w:top w:w="90" w:type="dxa"/>
              <w:start w:w="120" w:type="dxa"/>
              <w:bottom w:w="90" w:type="dxa"/>
              <w:end w:w="120" w:type="dxa"/>
            </w:tcMar>
            <w:vAlign w:val="center"/>
          </w:tcPr>
          <w:p>
            <w:pPr>
              <w:spacing w:after="0"/>
            </w:pPr>
            <w:r>
              <w:rPr>
                <w:rFonts w:ascii="Calibri" w:hAnsi="Calibri"/>
                <w:b w:val="0"/>
                <w:color w:val="111827"/>
                <w:sz w:val="14"/>
              </w:rPr>
              <w:t>Accounts en support</w:t>
            </w:r>
          </w:p>
        </w:tc>
        <w:tc>
          <w:tcPr>
            <w:tcW w:type="dxa" w:w="2000"/>
            <w:tcMar>
              <w:top w:w="90" w:type="dxa"/>
              <w:start w:w="120" w:type="dxa"/>
              <w:bottom w:w="90" w:type="dxa"/>
              <w:end w:w="120" w:type="dxa"/>
            </w:tcMar>
            <w:vAlign w:val="center"/>
          </w:tcPr>
          <w:p>
            <w:pPr>
              <w:spacing w:after="0"/>
            </w:pPr>
            <w:r>
              <w:rPr>
                <w:rFonts w:ascii="Calibri" w:hAnsi="Calibri"/>
                <w:b w:val="0"/>
                <w:color w:val="111827"/>
                <w:sz w:val="14"/>
              </w:rPr>
              <w:t>Account-ID's, rollen, tickets, logs, communicatie en diagnostiek</w:t>
            </w:r>
          </w:p>
        </w:tc>
        <w:tc>
          <w:tcPr>
            <w:tcW w:type="dxa" w:w="2050"/>
            <w:tcMar>
              <w:top w:w="90" w:type="dxa"/>
              <w:start w:w="120" w:type="dxa"/>
              <w:bottom w:w="90" w:type="dxa"/>
              <w:end w:w="120" w:type="dxa"/>
            </w:tcMar>
            <w:vAlign w:val="center"/>
          </w:tcPr>
          <w:p>
            <w:pPr>
              <w:spacing w:after="0"/>
            </w:pPr>
            <w:r>
              <w:rPr>
                <w:rFonts w:ascii="Calibri" w:hAnsi="Calibri"/>
                <w:b w:val="0"/>
                <w:color w:val="111827"/>
                <w:sz w:val="14"/>
              </w:rPr>
              <w:t>Accounts maken, authenticeren, ondersteunen en Dienst beveiligen</w:t>
            </w:r>
          </w:p>
        </w:tc>
        <w:tc>
          <w:tcPr>
            <w:tcW w:type="dxa" w:w="1600"/>
            <w:tcMar>
              <w:top w:w="90" w:type="dxa"/>
              <w:start w:w="120" w:type="dxa"/>
              <w:bottom w:w="90" w:type="dxa"/>
              <w:end w:w="120" w:type="dxa"/>
            </w:tcMar>
            <w:vAlign w:val="center"/>
          </w:tcPr>
          <w:p>
            <w:pPr>
              <w:spacing w:after="0"/>
            </w:pPr>
            <w:r>
              <w:rPr>
                <w:rFonts w:ascii="Calibri" w:hAnsi="Calibri"/>
                <w:b w:val="0"/>
                <w:color w:val="111827"/>
                <w:sz w:val="14"/>
              </w:rPr>
              <w:t>Overeenkomst en gerechtvaardigd belang</w:t>
            </w:r>
          </w:p>
        </w:tc>
        <w:tc>
          <w:tcPr>
            <w:tcW w:type="dxa" w:w="2211"/>
            <w:tcMar>
              <w:top w:w="90" w:type="dxa"/>
              <w:start w:w="120" w:type="dxa"/>
              <w:bottom w:w="90" w:type="dxa"/>
              <w:end w:w="120" w:type="dxa"/>
            </w:tcMar>
            <w:vAlign w:val="center"/>
          </w:tcPr>
          <w:p>
            <w:pPr>
              <w:spacing w:after="0"/>
            </w:pPr>
            <w:r>
              <w:rPr>
                <w:rFonts w:ascii="Calibri" w:hAnsi="Calibri"/>
                <w:b w:val="0"/>
                <w:color w:val="111827"/>
                <w:sz w:val="14"/>
              </w:rPr>
              <w:t>Tijdens account/overeenkomst plus maximaal 24 maanden; langer alleen voor juridische of beveiligingsnoodzaak</w:t>
            </w:r>
          </w:p>
        </w:tc>
      </w:tr>
      <w:tr>
        <w:trPr>
          <w:cantSplit/>
        </w:trPr>
        <w:tc>
          <w:tcPr>
            <w:tcW w:type="dxa" w:w="1550"/>
            <w:tcMar>
              <w:top w:w="90" w:type="dxa"/>
              <w:start w:w="120" w:type="dxa"/>
              <w:bottom w:w="90" w:type="dxa"/>
              <w:end w:w="120" w:type="dxa"/>
            </w:tcMar>
            <w:vAlign w:val="center"/>
          </w:tcPr>
          <w:p>
            <w:pPr>
              <w:spacing w:after="0"/>
            </w:pPr>
            <w:r>
              <w:rPr>
                <w:rFonts w:ascii="Calibri" w:hAnsi="Calibri"/>
                <w:b w:val="0"/>
                <w:color w:val="111827"/>
                <w:sz w:val="14"/>
              </w:rPr>
              <w:t>Marketing</w:t>
            </w:r>
          </w:p>
        </w:tc>
        <w:tc>
          <w:tcPr>
            <w:tcW w:type="dxa" w:w="2000"/>
            <w:tcMar>
              <w:top w:w="90" w:type="dxa"/>
              <w:start w:w="120" w:type="dxa"/>
              <w:bottom w:w="90" w:type="dxa"/>
              <w:end w:w="120" w:type="dxa"/>
            </w:tcMar>
            <w:vAlign w:val="center"/>
          </w:tcPr>
          <w:p>
            <w:pPr>
              <w:spacing w:after="0"/>
            </w:pPr>
            <w:r>
              <w:rPr>
                <w:rFonts w:ascii="Calibri" w:hAnsi="Calibri"/>
                <w:b w:val="0"/>
                <w:color w:val="111827"/>
                <w:sz w:val="14"/>
              </w:rPr>
              <w:t>Naam, zakelijk e-mailadres, organisatie, interesses, toestemming en interactie</w:t>
            </w:r>
          </w:p>
        </w:tc>
        <w:tc>
          <w:tcPr>
            <w:tcW w:type="dxa" w:w="2050"/>
            <w:tcMar>
              <w:top w:w="90" w:type="dxa"/>
              <w:start w:w="120" w:type="dxa"/>
              <w:bottom w:w="90" w:type="dxa"/>
              <w:end w:w="120" w:type="dxa"/>
            </w:tcMar>
            <w:vAlign w:val="center"/>
          </w:tcPr>
          <w:p>
            <w:pPr>
              <w:spacing w:after="0"/>
            </w:pPr>
            <w:r>
              <w:rPr>
                <w:rFonts w:ascii="Calibri" w:hAnsi="Calibri"/>
                <w:b w:val="0"/>
                <w:color w:val="111827"/>
                <w:sz w:val="14"/>
              </w:rPr>
              <w:t>Gevraagde updates en zakelijke marketing sturen</w:t>
            </w:r>
          </w:p>
        </w:tc>
        <w:tc>
          <w:tcPr>
            <w:tcW w:type="dxa" w:w="1600"/>
            <w:tcMar>
              <w:top w:w="90" w:type="dxa"/>
              <w:start w:w="120" w:type="dxa"/>
              <w:bottom w:w="90" w:type="dxa"/>
              <w:end w:w="120" w:type="dxa"/>
            </w:tcMar>
            <w:vAlign w:val="center"/>
          </w:tcPr>
          <w:p>
            <w:pPr>
              <w:spacing w:after="0"/>
            </w:pPr>
            <w:r>
              <w:rPr>
                <w:rFonts w:ascii="Calibri" w:hAnsi="Calibri"/>
                <w:b w:val="0"/>
                <w:color w:val="111827"/>
                <w:sz w:val="14"/>
              </w:rPr>
              <w:t>Toestemming</w:t>
            </w:r>
          </w:p>
        </w:tc>
        <w:tc>
          <w:tcPr>
            <w:tcW w:type="dxa" w:w="2211"/>
            <w:tcMar>
              <w:top w:w="90" w:type="dxa"/>
              <w:start w:w="120" w:type="dxa"/>
              <w:bottom w:w="90" w:type="dxa"/>
              <w:end w:w="120" w:type="dxa"/>
            </w:tcMar>
            <w:vAlign w:val="center"/>
          </w:tcPr>
          <w:p>
            <w:pPr>
              <w:spacing w:after="0"/>
            </w:pPr>
            <w:r>
              <w:rPr>
                <w:rFonts w:ascii="Calibri" w:hAnsi="Calibri"/>
                <w:b w:val="0"/>
                <w:color w:val="111827"/>
                <w:sz w:val="14"/>
              </w:rPr>
              <w:t>Tot intrekking; minimaal onderdrukkingsrecord kan worden bewaard om afmelding te respecteren</w:t>
            </w:r>
          </w:p>
        </w:tc>
      </w:tr>
      <w:tr>
        <w:trPr>
          <w:cantSplit/>
        </w:trPr>
        <w:tc>
          <w:tcPr>
            <w:tcW w:type="dxa" w:w="1550"/>
            <w:tcMar>
              <w:top w:w="90" w:type="dxa"/>
              <w:start w:w="120" w:type="dxa"/>
              <w:bottom w:w="90" w:type="dxa"/>
              <w:end w:w="120" w:type="dxa"/>
            </w:tcMar>
            <w:vAlign w:val="center"/>
          </w:tcPr>
          <w:p>
            <w:pPr>
              <w:spacing w:after="0"/>
            </w:pPr>
            <w:r>
              <w:rPr>
                <w:rFonts w:ascii="Calibri" w:hAnsi="Calibri"/>
                <w:b w:val="0"/>
                <w:color w:val="111827"/>
                <w:sz w:val="14"/>
              </w:rPr>
              <w:t>Analyse en advertenties</w:t>
            </w:r>
          </w:p>
        </w:tc>
        <w:tc>
          <w:tcPr>
            <w:tcW w:type="dxa" w:w="2000"/>
            <w:tcMar>
              <w:top w:w="90" w:type="dxa"/>
              <w:start w:w="120" w:type="dxa"/>
              <w:bottom w:w="90" w:type="dxa"/>
              <w:end w:w="120" w:type="dxa"/>
            </w:tcMar>
            <w:vAlign w:val="center"/>
          </w:tcPr>
          <w:p>
            <w:pPr>
              <w:spacing w:after="0"/>
            </w:pPr>
            <w:r>
              <w:rPr>
                <w:rFonts w:ascii="Calibri" w:hAnsi="Calibri"/>
                <w:b w:val="0"/>
                <w:color w:val="111827"/>
                <w:sz w:val="14"/>
              </w:rPr>
              <w:t>Online ID's, cookie-ID's, gebeurtenissen, globale locatie en campagnedata</w:t>
            </w:r>
          </w:p>
        </w:tc>
        <w:tc>
          <w:tcPr>
            <w:tcW w:type="dxa" w:w="2050"/>
            <w:tcMar>
              <w:top w:w="90" w:type="dxa"/>
              <w:start w:w="120" w:type="dxa"/>
              <w:bottom w:w="90" w:type="dxa"/>
              <w:end w:w="120" w:type="dxa"/>
            </w:tcMar>
            <w:vAlign w:val="center"/>
          </w:tcPr>
          <w:p>
            <w:pPr>
              <w:spacing w:after="0"/>
            </w:pPr>
            <w:r>
              <w:rPr>
                <w:rFonts w:ascii="Calibri" w:hAnsi="Calibri"/>
                <w:b w:val="0"/>
                <w:color w:val="111827"/>
                <w:sz w:val="14"/>
              </w:rPr>
              <w:t>Websites en toegestane campagnes meten en verbeteren</w:t>
            </w:r>
          </w:p>
        </w:tc>
        <w:tc>
          <w:tcPr>
            <w:tcW w:type="dxa" w:w="1600"/>
            <w:tcMar>
              <w:top w:w="90" w:type="dxa"/>
              <w:start w:w="120" w:type="dxa"/>
              <w:bottom w:w="90" w:type="dxa"/>
              <w:end w:w="120" w:type="dxa"/>
            </w:tcMar>
            <w:vAlign w:val="center"/>
          </w:tcPr>
          <w:p>
            <w:pPr>
              <w:spacing w:after="0"/>
            </w:pPr>
            <w:r>
              <w:rPr>
                <w:rFonts w:ascii="Calibri" w:hAnsi="Calibri"/>
                <w:b w:val="0"/>
                <w:color w:val="111827"/>
                <w:sz w:val="14"/>
              </w:rPr>
              <w:t>Toestemming waar vereist</w:t>
            </w:r>
          </w:p>
        </w:tc>
        <w:tc>
          <w:tcPr>
            <w:tcW w:type="dxa" w:w="2211"/>
            <w:tcMar>
              <w:top w:w="90" w:type="dxa"/>
              <w:start w:w="120" w:type="dxa"/>
              <w:bottom w:w="90" w:type="dxa"/>
              <w:end w:w="120" w:type="dxa"/>
            </w:tcMar>
            <w:vAlign w:val="center"/>
          </w:tcPr>
          <w:p>
            <w:pPr>
              <w:spacing w:after="0"/>
            </w:pPr>
            <w:r>
              <w:rPr>
                <w:rFonts w:ascii="Calibri" w:hAnsi="Calibri"/>
                <w:b w:val="0"/>
                <w:color w:val="111827"/>
                <w:sz w:val="14"/>
              </w:rPr>
              <w:t>Zoals vermeld in Cookieverklaring en voorkeurencentrum</w:t>
            </w:r>
          </w:p>
        </w:tc>
      </w:tr>
      <w:tr>
        <w:trPr>
          <w:cantSplit/>
        </w:trPr>
        <w:tc>
          <w:tcPr>
            <w:tcW w:type="dxa" w:w="1550"/>
            <w:tcMar>
              <w:top w:w="90" w:type="dxa"/>
              <w:start w:w="120" w:type="dxa"/>
              <w:bottom w:w="90" w:type="dxa"/>
              <w:end w:w="120" w:type="dxa"/>
            </w:tcMar>
            <w:vAlign w:val="center"/>
          </w:tcPr>
          <w:p>
            <w:pPr>
              <w:spacing w:after="0"/>
            </w:pPr>
            <w:r>
              <w:rPr>
                <w:rFonts w:ascii="Calibri" w:hAnsi="Calibri"/>
                <w:b w:val="0"/>
                <w:color w:val="111827"/>
                <w:sz w:val="14"/>
              </w:rPr>
              <w:t>Sollicitaties</w:t>
            </w:r>
          </w:p>
        </w:tc>
        <w:tc>
          <w:tcPr>
            <w:tcW w:type="dxa" w:w="2000"/>
            <w:tcMar>
              <w:top w:w="90" w:type="dxa"/>
              <w:start w:w="120" w:type="dxa"/>
              <w:bottom w:w="90" w:type="dxa"/>
              <w:end w:w="120" w:type="dxa"/>
            </w:tcMar>
            <w:vAlign w:val="center"/>
          </w:tcPr>
          <w:p>
            <w:pPr>
              <w:spacing w:after="0"/>
            </w:pPr>
            <w:r>
              <w:rPr>
                <w:rFonts w:ascii="Calibri" w:hAnsi="Calibri"/>
                <w:b w:val="0"/>
                <w:color w:val="111827"/>
                <w:sz w:val="14"/>
              </w:rPr>
              <w:t>CV, aanvraag, contactgegevens, gespreksnotities en referenties</w:t>
            </w:r>
          </w:p>
        </w:tc>
        <w:tc>
          <w:tcPr>
            <w:tcW w:type="dxa" w:w="2050"/>
            <w:tcMar>
              <w:top w:w="90" w:type="dxa"/>
              <w:start w:w="120" w:type="dxa"/>
              <w:bottom w:w="90" w:type="dxa"/>
              <w:end w:w="120" w:type="dxa"/>
            </w:tcMar>
            <w:vAlign w:val="center"/>
          </w:tcPr>
          <w:p>
            <w:pPr>
              <w:spacing w:after="0"/>
            </w:pPr>
            <w:r>
              <w:rPr>
                <w:rFonts w:ascii="Calibri" w:hAnsi="Calibri"/>
                <w:b w:val="0"/>
                <w:color w:val="111827"/>
                <w:sz w:val="14"/>
              </w:rPr>
              <w:t>Sollicitaties beoordelen en beheren</w:t>
            </w:r>
          </w:p>
        </w:tc>
        <w:tc>
          <w:tcPr>
            <w:tcW w:type="dxa" w:w="1600"/>
            <w:tcMar>
              <w:top w:w="90" w:type="dxa"/>
              <w:start w:w="120" w:type="dxa"/>
              <w:bottom w:w="90" w:type="dxa"/>
              <w:end w:w="120" w:type="dxa"/>
            </w:tcMar>
            <w:vAlign w:val="center"/>
          </w:tcPr>
          <w:p>
            <w:pPr>
              <w:spacing w:after="0"/>
            </w:pPr>
            <w:r>
              <w:rPr>
                <w:rFonts w:ascii="Calibri" w:hAnsi="Calibri"/>
                <w:b w:val="0"/>
                <w:color w:val="111827"/>
                <w:sz w:val="14"/>
              </w:rPr>
              <w:t>Precontractuele stappen, gerechtvaardigd belang en wettelijke plichten</w:t>
            </w:r>
          </w:p>
        </w:tc>
        <w:tc>
          <w:tcPr>
            <w:tcW w:type="dxa" w:w="2211"/>
            <w:tcMar>
              <w:top w:w="90" w:type="dxa"/>
              <w:start w:w="120" w:type="dxa"/>
              <w:bottom w:w="90" w:type="dxa"/>
              <w:end w:w="120" w:type="dxa"/>
            </w:tcMar>
            <w:vAlign w:val="center"/>
          </w:tcPr>
          <w:p>
            <w:pPr>
              <w:spacing w:after="0"/>
            </w:pPr>
            <w:r>
              <w:rPr>
                <w:rFonts w:ascii="Calibri" w:hAnsi="Calibri"/>
                <w:b w:val="0"/>
                <w:color w:val="111827"/>
                <w:sz w:val="14"/>
              </w:rPr>
              <w:t>Normaal 4 weken na procedure, of maximaal 1 jaar met toestemming</w:t>
            </w:r>
          </w:p>
        </w:tc>
      </w:tr>
      <w:tr>
        <w:trPr>
          <w:cantSplit/>
        </w:trPr>
        <w:tc>
          <w:tcPr>
            <w:tcW w:type="dxa" w:w="1550"/>
            <w:tcMar>
              <w:top w:w="90" w:type="dxa"/>
              <w:start w:w="120" w:type="dxa"/>
              <w:bottom w:w="90" w:type="dxa"/>
              <w:end w:w="120" w:type="dxa"/>
            </w:tcMar>
            <w:vAlign w:val="center"/>
          </w:tcPr>
          <w:p>
            <w:pPr>
              <w:spacing w:after="0"/>
            </w:pPr>
            <w:r>
              <w:rPr>
                <w:rFonts w:ascii="Calibri" w:hAnsi="Calibri"/>
                <w:b w:val="0"/>
                <w:color w:val="111827"/>
                <w:sz w:val="14"/>
              </w:rPr>
              <w:t>Claims en naleving</w:t>
            </w:r>
          </w:p>
        </w:tc>
        <w:tc>
          <w:tcPr>
            <w:tcW w:type="dxa" w:w="2000"/>
            <w:tcMar>
              <w:top w:w="90" w:type="dxa"/>
              <w:start w:w="120" w:type="dxa"/>
              <w:bottom w:w="90" w:type="dxa"/>
              <w:end w:w="120" w:type="dxa"/>
            </w:tcMar>
            <w:vAlign w:val="center"/>
          </w:tcPr>
          <w:p>
            <w:pPr>
              <w:spacing w:after="0"/>
            </w:pPr>
            <w:r>
              <w:rPr>
                <w:rFonts w:ascii="Calibri" w:hAnsi="Calibri"/>
                <w:b w:val="0"/>
                <w:color w:val="111827"/>
                <w:sz w:val="14"/>
              </w:rPr>
              <w:t>Relevante contracten, communicatie, logs en bewijs</w:t>
            </w:r>
          </w:p>
        </w:tc>
        <w:tc>
          <w:tcPr>
            <w:tcW w:type="dxa" w:w="2050"/>
            <w:tcMar>
              <w:top w:w="90" w:type="dxa"/>
              <w:start w:w="120" w:type="dxa"/>
              <w:bottom w:w="90" w:type="dxa"/>
              <w:end w:w="120" w:type="dxa"/>
            </w:tcMar>
            <w:vAlign w:val="center"/>
          </w:tcPr>
          <w:p>
            <w:pPr>
              <w:spacing w:after="0"/>
            </w:pPr>
            <w:r>
              <w:rPr>
                <w:rFonts w:ascii="Calibri" w:hAnsi="Calibri"/>
                <w:b w:val="0"/>
                <w:color w:val="111827"/>
                <w:sz w:val="14"/>
              </w:rPr>
              <w:t>Claims instellen, uitoefenen of verdedigen en autoriteiten naleven</w:t>
            </w:r>
          </w:p>
        </w:tc>
        <w:tc>
          <w:tcPr>
            <w:tcW w:type="dxa" w:w="1600"/>
            <w:tcMar>
              <w:top w:w="90" w:type="dxa"/>
              <w:start w:w="120" w:type="dxa"/>
              <w:bottom w:w="90" w:type="dxa"/>
              <w:end w:w="120" w:type="dxa"/>
            </w:tcMar>
            <w:vAlign w:val="center"/>
          </w:tcPr>
          <w:p>
            <w:pPr>
              <w:spacing w:after="0"/>
            </w:pPr>
            <w:r>
              <w:rPr>
                <w:rFonts w:ascii="Calibri" w:hAnsi="Calibri"/>
                <w:b w:val="0"/>
                <w:color w:val="111827"/>
                <w:sz w:val="14"/>
              </w:rPr>
              <w:t>Wettelijke plicht en gerechtvaardigd belang</w:t>
            </w:r>
          </w:p>
        </w:tc>
        <w:tc>
          <w:tcPr>
            <w:tcW w:type="dxa" w:w="2211"/>
            <w:tcMar>
              <w:top w:w="90" w:type="dxa"/>
              <w:start w:w="120" w:type="dxa"/>
              <w:bottom w:w="90" w:type="dxa"/>
              <w:end w:w="120" w:type="dxa"/>
            </w:tcMar>
            <w:vAlign w:val="center"/>
          </w:tcPr>
          <w:p>
            <w:pPr>
              <w:spacing w:after="0"/>
            </w:pPr>
            <w:r>
              <w:rPr>
                <w:rFonts w:ascii="Calibri" w:hAnsi="Calibri"/>
                <w:b w:val="0"/>
                <w:color w:val="111827"/>
                <w:sz w:val="14"/>
              </w:rPr>
              <w:t>Gedurende wettelijke of verjaringstermijn</w:t>
            </w:r>
          </w:p>
        </w:tc>
      </w:tr>
    </w:tbl>
    <w:p>
      <w:pPr>
        <w:spacing w:after="0"/>
      </w:pPr>
    </w:p>
    <w:p>
      <w:pPr>
        <w:keepLines w:val="0"/>
        <w:spacing w:after="120"/>
      </w:pPr>
      <w:r>
        <w:rPr>
          <w:rFonts w:ascii="Calibri" w:hAnsi="Calibri"/>
          <w:i/>
        </w:rPr>
        <w:t>Bewaartermijnen kunnen worden verkort wanneer het doel eindigt en alleen worden verlengd wegens wet, beveiliging, geschil of aantoonbare bewaarbehoefte. De gegevens worden dan tot dat doel beperkt.</w:t>
      </w:r>
    </w:p>
    <w:p>
      <w:pPr>
        <w:pStyle w:val="Heading1"/>
        <w:keepNext/>
      </w:pPr>
      <w:r>
        <w:t>4. Bronnen en noodzakelijke gegevens</w:t>
      </w:r>
    </w:p>
    <w:p>
      <w:pPr>
        <w:pStyle w:val="ListBullet"/>
        <w:spacing w:after="80"/>
        <w:ind w:left="720" w:hanging="360"/>
      </w:pPr>
      <w:r>
        <w:rPr>
          <w:rFonts w:ascii="Calibri" w:hAnsi="Calibri"/>
        </w:rPr>
        <w:t>Wij ontvangen gegevens rechtstreeks van u, uw organisatie, bevoegde gebruikers, openbare zakelijke bronnen, dienstlogs, toegestane analyse-/advertentietools en de Brightness-entiteit die uw aanvraag doorstuurt.</w:t>
      </w:r>
    </w:p>
    <w:p>
      <w:pPr>
        <w:pStyle w:val="ListBullet"/>
        <w:spacing w:after="80"/>
        <w:ind w:left="720" w:hanging="360"/>
      </w:pPr>
      <w:r>
        <w:rPr>
          <w:rFonts w:ascii="Calibri" w:hAnsi="Calibri"/>
        </w:rPr>
        <w:t>Als verplicht gemarkeerde velden zijn nodig om te reageren, authenticeren, de wet na te leven of een overeenkomst te sluiten of uit te voeren. Zonder die gegevens kunnen wij mogelijk niet verder.</w:t>
      </w:r>
    </w:p>
    <w:p>
      <w:pPr>
        <w:pStyle w:val="Heading1"/>
        <w:keepNext/>
      </w:pPr>
      <w:r>
        <w:t>5. Ontvangers en dienstverleners</w:t>
      </w:r>
    </w:p>
    <w:p>
      <w:pPr>
        <w:pStyle w:val="ListBullet"/>
        <w:spacing w:after="80"/>
        <w:ind w:left="720" w:hanging="360"/>
      </w:pPr>
      <w:r>
        <w:rPr>
          <w:rFonts w:ascii="Calibri" w:hAnsi="Calibri"/>
        </w:rPr>
        <w:t>de operationele Brightness-entiteit die relevant is voor uw aanvraag of overeenkomst;</w:t>
      </w:r>
    </w:p>
    <w:p>
      <w:pPr>
        <w:pStyle w:val="ListBullet"/>
        <w:spacing w:after="80"/>
        <w:ind w:left="720" w:hanging="360"/>
      </w:pPr>
      <w:r>
        <w:rPr>
          <w:rFonts w:ascii="Calibri" w:hAnsi="Calibri"/>
        </w:rPr>
        <w:t>bevoegde medewerkers en opdrachtnemers die de informatie nodig hebben;</w:t>
      </w:r>
    </w:p>
    <w:p>
      <w:pPr>
        <w:pStyle w:val="ListBullet"/>
        <w:spacing w:after="80"/>
        <w:ind w:left="720" w:hanging="360"/>
      </w:pPr>
      <w:r>
        <w:rPr>
          <w:rFonts w:ascii="Calibri" w:hAnsi="Calibri"/>
        </w:rPr>
        <w:t>leveranciers van hosting, e-mail, CRM, communicatie, beveiliging, support, boekhouding en professioneel advies;</w:t>
      </w:r>
    </w:p>
    <w:p>
      <w:pPr>
        <w:pStyle w:val="ListBullet"/>
        <w:spacing w:after="80"/>
        <w:ind w:left="720" w:hanging="360"/>
      </w:pPr>
      <w:r>
        <w:rPr>
          <w:rFonts w:ascii="Calibri" w:hAnsi="Calibri"/>
        </w:rPr>
        <w:t>analyse-, advertentie-, embedded-content- en socialmediaproviders alleen waar geactiveerd en rechtsgeldig toegestaan;</w:t>
      </w:r>
    </w:p>
    <w:p>
      <w:pPr>
        <w:pStyle w:val="ListBullet"/>
        <w:spacing w:after="80"/>
        <w:ind w:left="720" w:hanging="360"/>
      </w:pPr>
      <w:r>
        <w:rPr>
          <w:rFonts w:ascii="Calibri" w:hAnsi="Calibri"/>
        </w:rPr>
        <w:t>overheidsinstanties, toezichthouders, gerechten en wederpartijen waar wettelijk vereist of nodig voor een claim.</w:t>
      </w:r>
    </w:p>
    <w:p>
      <w:pPr>
        <w:keepLines w:val="0"/>
        <w:spacing w:after="120"/>
      </w:pPr>
      <w:r>
        <w:rPr>
          <w:rFonts w:ascii="Calibri" w:hAnsi="Calibri"/>
          <w:i w:val="0"/>
        </w:rPr>
        <w:t>Verwerkers krijgen contractuele privacy- en geheimhoudingsplichten en mogen gegevens niet voor eigen ongerelateerde doelen gebruiken. Een door de Klant gekozen derde, zoals een AI-provider met eigen klantaccount of API-sleutel, is voor die zelfstandige klantrelatie geen Brightness-verwerker.</w:t>
      </w:r>
    </w:p>
    <w:p>
      <w:pPr>
        <w:pStyle w:val="Heading1"/>
        <w:keepNext/>
      </w:pPr>
      <w:r>
        <w:t>6. Internationale doorgiften</w:t>
      </w:r>
    </w:p>
    <w:p>
      <w:pPr>
        <w:keepLines w:val="0"/>
        <w:spacing w:after="120"/>
      </w:pPr>
      <w:r>
        <w:rPr>
          <w:rFonts w:ascii="Calibri" w:hAnsi="Calibri"/>
          <w:i w:val="0"/>
        </w:rPr>
        <w:t>Website- en SparkleCloud-hosting blijft bedoeld in Nederland, tenzij een andere locatie wordt gekozen. Een relevante ontwikkelaanvraag kan worden doorgestuurd naar Brightness India B.V. of Brightness Software Development (I) Private Limited. Toegang of doorgifte buiten de EER vindt alleen plaats waar nodig en met adequaatheidsbesluit, EU-standaardcontractbepalingen of ander geldig mechanisme, plus aanvullende maatregelen waar vereist. Sommige toegestane analyse-, advertentie-, communicatie- of AI-providers kunnen buiten de EER verwerken onder hun gepubliceerde waarborgen.</w:t>
      </w:r>
    </w:p>
    <w:p>
      <w:pPr>
        <w:pStyle w:val="Heading1"/>
        <w:keepNext/>
      </w:pPr>
      <w:r>
        <w:t>7. Cookies en tracking</w:t>
      </w:r>
    </w:p>
    <w:p>
      <w:pPr>
        <w:keepLines w:val="0"/>
        <w:spacing w:after="120"/>
      </w:pPr>
      <w:r>
        <w:rPr>
          <w:rFonts w:ascii="Calibri" w:hAnsi="Calibri"/>
          <w:i w:val="0"/>
        </w:rPr>
        <w:t>Strikt noodzakelijke technologie wordt gebruikt om de websites te beheren en beveiligen. Analyse-, advertentie- en embedded technologie van derden wordt alleen geactiveerd op de toestemmingsbasis uit de Cookieverklaring en het voorkeurencentrum. Doorgaan met browsen geldt niet als toestemming. Toestemming kan altijd worden gewijzigd of ingetrokken.</w:t>
      </w:r>
    </w:p>
    <w:p>
      <w:pPr>
        <w:pStyle w:val="Heading1"/>
        <w:keepNext/>
      </w:pPr>
      <w:r>
        <w:t>8. Marketing</w:t>
      </w:r>
    </w:p>
    <w:p>
      <w:pPr>
        <w:keepLines w:val="0"/>
        <w:spacing w:after="120"/>
      </w:pPr>
      <w:r>
        <w:rPr>
          <w:rFonts w:ascii="Calibri" w:hAnsi="Calibri"/>
          <w:i w:val="0"/>
        </w:rPr>
        <w:t>Brightness stuurt marketingmail alleen wanneer daarvoor afzonderlijke, aantoonbare toestemming is gegeven. Iedere marketingmail bevat een afmeldmogelijkheid. Intrekking tast eerdere rechtmatige verwerking niet aan. Klantdata die in opdracht van een klant wordt verwerkt, wordt niet automatisch voor Brightness-marketing gebruikt.</w:t>
      </w:r>
    </w:p>
    <w:p>
      <w:pPr>
        <w:pStyle w:val="Heading1"/>
        <w:keepNext/>
      </w:pPr>
      <w:r>
        <w:t>9. AI en geautomatiseerde besluiten</w:t>
      </w:r>
    </w:p>
    <w:p>
      <w:pPr>
        <w:keepLines w:val="0"/>
        <w:spacing w:after="120"/>
      </w:pPr>
      <w:r>
        <w:rPr>
          <w:rFonts w:ascii="Calibri" w:hAnsi="Calibri"/>
          <w:i w:val="0"/>
        </w:rPr>
        <w:t>Brightness kan ondersteunende hulpmiddelen gebruiken om informatie op te stellen, classificeren of routeren wanneer passende waarborgen gelden. Brightness neemt geen uitsluitend geautomatiseerde beslissingen over websitebezoekers, prospects of sollicitanten met rechtsgevolgen of vergelijkbare wezenlijke gevolgen, tenzij eerst de wettelijk vereiste specifieke informatie en waarborgen worden gegeven. Wanneer u bewust een AI-functie of chatbot gebruikt, behoort de interface die interactie te melden en bepalen de toepasselijke dienstvoorwaarden welke inhoud wordt verzonden.</w:t>
      </w:r>
    </w:p>
    <w:p>
      <w:pPr>
        <w:pStyle w:val="Heading1"/>
        <w:keepNext/>
      </w:pPr>
      <w:r>
        <w:t>10. Beveiliging</w:t>
      </w:r>
    </w:p>
    <w:p>
      <w:pPr>
        <w:keepLines w:val="0"/>
        <w:spacing w:after="120"/>
      </w:pPr>
      <w:r>
        <w:rPr>
          <w:rFonts w:ascii="Calibri" w:hAnsi="Calibri"/>
          <w:i w:val="0"/>
        </w:rPr>
        <w:t>Brightness past risicogebaseerde technische en organisatorische maatregelen toe, waaronder toegangsbeheer, encryptie tijdens transport, versleutelde databases waar geïmplementeerd, logging, back-ups, monitoring, gescheiden ontwikkel-/staging-/productieomgevingen en incidentafhandeling. Geen internetdienst is zonder risico. Gebruikers beschermen inloggegevens, activeren MFA waar beschikbaar en melden vermoed misbruik direct.</w:t>
      </w:r>
    </w:p>
    <w:p>
      <w:pPr>
        <w:pStyle w:val="Heading1"/>
        <w:keepNext/>
      </w:pPr>
      <w:r>
        <w:t>11. Uw rechten</w:t>
      </w:r>
    </w:p>
    <w:p>
      <w:pPr>
        <w:pStyle w:val="ListBullet"/>
        <w:spacing w:after="80"/>
        <w:ind w:left="720" w:hanging="360"/>
      </w:pPr>
      <w:r>
        <w:rPr>
          <w:rFonts w:ascii="Calibri" w:hAnsi="Calibri"/>
        </w:rPr>
        <w:t>inzage in en een kopie van uw persoonsgegevens;</w:t>
      </w:r>
    </w:p>
    <w:p>
      <w:pPr>
        <w:pStyle w:val="ListBullet"/>
        <w:spacing w:after="80"/>
        <w:ind w:left="720" w:hanging="360"/>
      </w:pPr>
      <w:r>
        <w:rPr>
          <w:rFonts w:ascii="Calibri" w:hAnsi="Calibri"/>
        </w:rPr>
        <w:t>rectificatie van onjuiste of onvolledige gegevens;</w:t>
      </w:r>
    </w:p>
    <w:p>
      <w:pPr>
        <w:pStyle w:val="ListBullet"/>
        <w:spacing w:after="80"/>
        <w:ind w:left="720" w:hanging="360"/>
      </w:pPr>
      <w:r>
        <w:rPr>
          <w:rFonts w:ascii="Calibri" w:hAnsi="Calibri"/>
        </w:rPr>
        <w:t>verwijdering of beperking wanneer aan de wettelijke voorwaarden is voldaan;</w:t>
      </w:r>
    </w:p>
    <w:p>
      <w:pPr>
        <w:pStyle w:val="ListBullet"/>
        <w:spacing w:after="80"/>
        <w:ind w:left="720" w:hanging="360"/>
      </w:pPr>
      <w:r>
        <w:rPr>
          <w:rFonts w:ascii="Calibri" w:hAnsi="Calibri"/>
        </w:rPr>
        <w:t>bezwaar tegen verwerking op gerechtvaardigd belang en absoluut bezwaar tegen direct marketing;</w:t>
      </w:r>
    </w:p>
    <w:p>
      <w:pPr>
        <w:pStyle w:val="ListBullet"/>
        <w:spacing w:after="80"/>
        <w:ind w:left="720" w:hanging="360"/>
      </w:pPr>
      <w:r>
        <w:rPr>
          <w:rFonts w:ascii="Calibri" w:hAnsi="Calibri"/>
        </w:rPr>
        <w:t>overdraagbaarheid waar van toepassing;</w:t>
      </w:r>
    </w:p>
    <w:p>
      <w:pPr>
        <w:pStyle w:val="ListBullet"/>
        <w:spacing w:after="80"/>
        <w:ind w:left="720" w:hanging="360"/>
      </w:pPr>
      <w:r>
        <w:rPr>
          <w:rFonts w:ascii="Calibri" w:hAnsi="Calibri"/>
        </w:rPr>
        <w:t>toestemming altijd intrekken;</w:t>
      </w:r>
    </w:p>
    <w:p>
      <w:pPr>
        <w:pStyle w:val="ListBullet"/>
        <w:spacing w:after="80"/>
        <w:ind w:left="720" w:hanging="360"/>
      </w:pPr>
      <w:r>
        <w:rPr>
          <w:rFonts w:ascii="Calibri" w:hAnsi="Calibri"/>
        </w:rPr>
        <w:t>informatie over waarborgen voor internationale doorgifte;</w:t>
      </w:r>
    </w:p>
    <w:p>
      <w:pPr>
        <w:pStyle w:val="ListBullet"/>
        <w:spacing w:after="80"/>
        <w:ind w:left="720" w:hanging="360"/>
      </w:pPr>
      <w:r>
        <w:rPr>
          <w:rFonts w:ascii="Calibri" w:hAnsi="Calibri"/>
        </w:rPr>
        <w:t>een klacht bij de Autoriteit Persoonsgegevens of een andere bevoegde toezichthouder.</w:t>
      </w:r>
    </w:p>
    <w:p>
      <w:pPr>
        <w:keepLines w:val="0"/>
        <w:spacing w:after="120"/>
      </w:pPr>
      <w:r>
        <w:rPr>
          <w:rFonts w:ascii="Calibri" w:hAnsi="Calibri"/>
          <w:i w:val="0"/>
        </w:rPr>
        <w:t>Stuur een verzoek naar support@brightness-group.com. Wij mogen identiteit en bevoegdheid verifiëren en reageren normaal binnen één maand. Rechten kunnen door wet en rechten van anderen worden beperkt. Een verzoek over Klantdata wordt normaal doorgestuurd naar de klant die daarover verantwoordelijke is.</w:t>
      </w:r>
    </w:p>
    <w:p>
      <w:pPr>
        <w:pStyle w:val="Heading1"/>
        <w:keepNext/>
      </w:pPr>
      <w:r>
        <w:t>12. Minderjarigen en zakelijk gebruik</w:t>
      </w:r>
    </w:p>
    <w:p>
      <w:pPr>
        <w:keepLines w:val="0"/>
        <w:spacing w:after="120"/>
      </w:pPr>
      <w:r>
        <w:rPr>
          <w:rFonts w:ascii="Calibri" w:hAnsi="Calibri"/>
          <w:i w:val="0"/>
        </w:rPr>
        <w:t>De websites en Diensten zijn bedoeld voor bedrijven en organisaties, niet voor kinderen of consumentengebruik. Een klant blijft verantwoordelijk wanneer hij een Dienst gebruikt voor gegevens van kinderen of andere kwetsbare personen en moet vooraf passende waarborgen overeenkomen.</w:t>
      </w:r>
    </w:p>
    <w:p>
      <w:pPr>
        <w:pStyle w:val="Heading1"/>
        <w:keepNext/>
      </w:pPr>
      <w:r>
        <w:t>13. Wijzigingen</w:t>
      </w:r>
    </w:p>
    <w:p>
      <w:pPr>
        <w:keepLines w:val="0"/>
        <w:spacing w:after="120"/>
      </w:pPr>
      <w:r>
        <w:rPr>
          <w:rFonts w:ascii="Calibri" w:hAnsi="Calibri"/>
          <w:i w:val="0"/>
        </w:rPr>
        <w:t>De actuele versie staat op de juridische pagina. Materiële wijzigingen worden waar passend uitgelicht of anders gecommuniceerd. Historische contractdocumenten blijven onder hun eigen versieregels vallen.</w:t>
      </w:r>
    </w:p>
    <w:sectPr w:rsidR="00FC693F" w:rsidRPr="0006063C" w:rsidSect="00034616">
      <w:headerReference w:type="default" r:id="rId9"/>
      <w:footerReference w:type="default" r:id="rId10"/>
      <w:headerReference w:type="even" r:id="rId11"/>
      <w:footerReference w:type="even" r:id="rId12"/>
      <w:pgSz w:w="11906" w:h="16838"/>
      <w:pgMar w:top="1247" w:right="1247" w:bottom="1247" w:left="1247" w:header="567" w:footer="56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Calibri" w:hAnsi="Calibri"/>
        <w:color w:val="4B5563"/>
        <w:sz w:val="17"/>
      </w:rPr>
      <w:t xml:space="preserve">Privacyverklaring Brightness  |  v3.0  |  pagina </w:t>
    </w:r>
    <w:r>
      <w:rPr>
        <w:rFonts w:ascii="Calibri" w:hAnsi="Calibri"/>
        <w:color w:val="4B5563"/>
        <w:sz w:val="17"/>
      </w:rPr>
      <w:fldChar w:fldCharType="begin"/>
      <w:instrText xml:space="preserve">PAGE</w:instrText>
      <w:fldChar w:fldCharType="end"/>
    </w:r>
    <w:r>
      <w:rPr>
        <w:rFonts w:ascii="Calibri" w:hAnsi="Calibri"/>
        <w:color w:val="4B5563"/>
        <w:sz w:val="17"/>
      </w:rPr>
      <w:t xml:space="preserve"> van </w:t>
    </w:r>
    <w:r>
      <w:rPr>
        <w:rFonts w:ascii="Calibri" w:hAnsi="Calibri"/>
        <w:color w:val="4B5563"/>
        <w:sz w:val="17"/>
      </w:rPr>
      <w:fldChar w:fldCharType="begin"/>
      <w:instrText xml:space="preserve">NUMPAGES</w:instrText>
      <w:fldChar w:fldCharType="end"/>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Calibri" w:hAnsi="Calibri"/>
        <w:color w:val="4B5563"/>
        <w:sz w:val="17"/>
      </w:rPr>
      <w:t xml:space="preserve">Privacyverklaring Brightness  |  v3.0  |  pagina </w:t>
    </w:r>
    <w:r>
      <w:rPr>
        <w:rFonts w:ascii="Calibri" w:hAnsi="Calibri"/>
        <w:color w:val="4B5563"/>
        <w:sz w:val="17"/>
      </w:rPr>
      <w:fldChar w:fldCharType="begin"/>
      <w:instrText xml:space="preserve">PAGE</w:instrText>
      <w:fldChar w:fldCharType="end"/>
    </w:r>
    <w:r>
      <w:rPr>
        <w:rFonts w:ascii="Calibri" w:hAnsi="Calibri"/>
        <w:color w:val="4B5563"/>
        <w:sz w:val="17"/>
      </w:rPr>
      <w:t xml:space="preserve"> van </w:t>
    </w:r>
    <w:r>
      <w:rPr>
        <w:rFonts w:ascii="Calibri" w:hAnsi="Calibri"/>
        <w:color w:val="4B5563"/>
        <w:sz w:val="17"/>
      </w:rPr>
      <w:fldChar w:fldCharType="begin"/>
      <w:instrText xml:space="preserve">NUMPAGES</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6" w:space="4" w:color="D9E1E7"/>
      </w:pBdr>
    </w:pPr>
    <w:r>
      <w:rPr>
        <w:rFonts w:ascii="Calibri" w:hAnsi="Calibri"/>
        <w:b/>
        <w:color w:val="176B87"/>
        <w:sz w:val="17"/>
      </w:rPr>
      <w:t>BRIGHTNESS  |  PRIVACY</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6" w:space="4" w:color="D9E1E7"/>
      </w:pBdr>
    </w:pPr>
    <w:r>
      <w:rPr>
        <w:rFonts w:ascii="Calibri" w:hAnsi="Calibri"/>
        <w:b/>
        <w:color w:val="176B87"/>
        <w:sz w:val="17"/>
      </w:rPr>
      <w:t>BRIGHTNESS  |  PRIVACY</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20" w:line="264" w:lineRule="auto"/>
    </w:pPr>
    <w:rPr>
      <w:rFonts w:ascii="Calibri" w:hAnsi="Calibri"/>
      <w:color w:val="111827"/>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Calibri" w:hAnsi="Calibri"/>
      <w:b/>
      <w:bCs/>
      <w:color w:val="17324D"/>
      <w:sz w:val="32"/>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Calibri" w:hAnsi="Calibri"/>
      <w:b/>
      <w:bCs/>
      <w:color w:val="176B87"/>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Calibri" w:hAnsi="Calibri"/>
      <w:b/>
      <w:bCs/>
      <w:color w:val="17324D"/>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264" w:lineRule="auto"/>
      <w:ind w:left="720" w:hanging="360"/>
      <w:contextualSpacing/>
    </w:pPr>
    <w:rPr>
      <w:rFonts w:ascii="Calibri" w:hAnsi="Calibri"/>
      <w:sz w:val="21"/>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80" w:line="264" w:lineRule="auto"/>
      <w:ind w:left="720" w:hanging="360"/>
      <w:contextualSpacing/>
    </w:pPr>
    <w:rPr>
      <w:rFonts w:ascii="Calibri" w:hAnsi="Calibri"/>
      <w:sz w:val="21"/>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eader" Target="header2.xml"/><Relationship Id="rId1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Privacyverklaring Brightness</dc:title>
  <dc:subject>Brightness legal and privacy documentation</dc:subject>
  <dc:creator>Brightness</dc:creator>
  <cp:keywords>Brightness, legal, privacy, GDPR, SaaS, software</cp:keywords>
  <dc:description>Controlled model v3.0</dc:description>
  <cp:lastModifiedBy>Brightness</cp:lastModifiedBy>
  <cp:revision>1</cp:revision>
  <dcterms:created xsi:type="dcterms:W3CDTF">2013-12-23T23:15:00Z</dcterms:created>
  <dcterms:modified xsi:type="dcterms:W3CDTF">2013-12-23T23:15:00Z</dcterms:modified>
  <cp:category/>
</cp:coreProperties>
</file>