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/>
          <w:b/>
          <w:color w:val="00A6C8"/>
          <w:sz w:val="18"/>
        </w:rPr>
        <w:t>TECHNISCHE EN ORGANISATORISCHE MAATREGELEN</w:t>
      </w:r>
    </w:p>
    <w:p>
      <w:pPr>
        <w:spacing w:after="100"/>
      </w:pPr>
      <w:r>
        <w:rPr>
          <w:rFonts w:ascii="Calibri" w:hAnsi="Calibri"/>
          <w:b/>
          <w:color w:val="17324D"/>
          <w:sz w:val="50"/>
        </w:rPr>
        <w:t>Beveiligingsbijlage Brightness</w:t>
      </w:r>
    </w:p>
    <w:p>
      <w:pPr>
        <w:spacing w:after="320"/>
      </w:pPr>
      <w:r>
        <w:rPr>
          <w:rFonts w:ascii="Calibri" w:hAnsi="Calibri"/>
          <w:color w:val="4B5563"/>
          <w:sz w:val="25"/>
        </w:rPr>
        <w:t>Technische en organisatorische minimummaatregelen voor Brightness-diensten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311"/>
      </w:tblGrid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Versie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2.0</w:t>
            </w:r>
          </w:p>
        </w:tc>
      </w:tr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Datum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26 augustus 2026</w:t>
            </w:r>
          </w:p>
        </w:tc>
      </w:tr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Contact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support@brightness-group.com | +31 23 557 4211</w:t>
            </w:r>
          </w:p>
        </w:tc>
      </w:tr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Status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Universeel model - klant- en opdrachtgegevens via offerte of verwerkingsbijlage</w:t>
            </w:r>
          </w:p>
        </w:tc>
      </w:tr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Model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Gedeelde verantwoordelijkheid tussen Brightness en de Klant</w:t>
            </w:r>
          </w:p>
        </w:tc>
      </w:tr>
    </w:tbl>
    <w:p>
      <w:pPr>
        <w:spacing w:after="0"/>
      </w:pP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411"/>
      </w:tblGrid>
      <w:tr>
        <w:tc>
          <w:tcPr>
            <w:tcW w:type="dxa" w:w="94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4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 xml:space="preserve">Geen certificeringsclaim: </w:t>
            </w:r>
            <w:r>
              <w:rPr>
                <w:rFonts w:ascii="Calibri" w:hAnsi="Calibri"/>
                <w:color w:val="111827"/>
                <w:sz w:val="19"/>
              </w:rPr>
              <w:t>Certificeringen van een datacenter- of infrastructuurleverancier behoren aan die leverancier en betekenen niet dat Brightness of de volledige dienstverlening zelfstandig volgens die normen is gecertificeerd.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Reikwijdte en risicobenadering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Deze bijlage beschrijft het standaard minimumniveau voor de in de Offerte aangewezen Brightness-dienst en -entiteit.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Klantspecifieke beschikbaarheid, RPO, RTO, dedicated inrichting, back-uptermijnen of aanvullende maatregelen zijn alleen bindend als zij in de Offerte of SLA staan.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 Klant meldt bijzondere, strafrechtelijke en andere hoog-risicogegevens vooraf, zodat aanvullende maatregelen kunnen worden beoordeeld.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Brightness verbetert maatregelen waar nodig en verlaagt het overeengekomen beschermingsniveau niet wezenlijk zonder de contractueel vereiste kennisgeving en instemming.</w:t>
      </w:r>
    </w:p>
    <w:p>
      <w:pPr>
        <w:pStyle w:val="Heading1"/>
        <w:keepNext/>
      </w:pPr>
      <w:r>
        <w:t>2. Organisatie, personeel en governance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Toegang is beperkt tot medewerkers en ingeschakelde personen die deze voor hun taak nodig hebben.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Medewerkers en ingehuurde personen zijn contractueel of wettelijk aan geheimhouding gebonden.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Bij aanvang ontvangen betrokken personen instructies over privacy, incidenten, veilig gegevensgebruik en klantgeheimen.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Minimaal jaarlijks vindt beveiligings- en privacybewustwording plaats; uitvoering wordt intern geregistreerd.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Verhoogde rechten worden minimaal halfjaarlijks gecontroleerd. Toegang wordt direct aangepast of ingetrokken bij functiewijziging of einde betrokkenheid.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Beveiligings- en privacyincidenten worden via het centrale contactpunt geregistreerd, beoordeeld en opgevolgd.</w:t>
      </w:r>
    </w:p>
    <w:p>
      <w:pPr>
        <w:pStyle w:val="Heading1"/>
        <w:keepNext/>
      </w:pPr>
      <w:r>
        <w:t>3. Identiteit, authenticatie en toegang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SparkleCloud en toepasselijke diensten ondersteunen gebruikers, rollen, rechten en fijnmazige permissies.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MFA is verplicht voor Brightness-beheeraccounts en accounts met verhoogde rechten, voor zover het gebruikte systeem MFA ondersteunt.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 Klant beheert zijn eigen gebruikers, externe gebruikers, rollen, MFA-keuzes en tijdige intrekking van toegang.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Normale supporttoegang vindt alleen plaats na een supportverzoek of andere gedocumenteerde toestemming en wordt beperkt tot wat voor diagnose en herstel nodig is.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Noodtoegang is uitsluitend toegestaan bij een acute beveiligingsdreiging of ernstige storing wanneer wachten redelijkerwijs schade kan veroorzaken. Zij wordt gelogd, beperkt, achteraf gecontroleerd en zonder onredelijke vertraging gemeld.</w:t>
      </w:r>
    </w:p>
    <w:p>
      <w:pPr>
        <w:pStyle w:val="Heading1"/>
        <w:keepNext/>
      </w:pPr>
      <w:r>
        <w:t>4. Toegang vanuit India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Brightness Subscriptions B.V. gebruikt geen India-entiteit voor haar verwerkingsscope.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Toegang vanuit India is alleen toegestaan na specifieke schriftelijke autorisatie en afronding van de vereiste doorgiftewaarborgen.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Toegang vindt plaats via persoonlijke, beheerde accounts en is beperkt tot noodzakelijke systemen en gegevens.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Productiegegevens mogen niet op privéapparatuur worden opgeslagen.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Lokaal downloaden van productiegegevens is standaard verboden. Een noodzakelijke tijdelijke kopie vereist voorafgaande toestemming, een beveiligd bedrijfsapparaat en verwijdering direct na afronding.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Gegevens en toegangsrechten worden logisch en organisatorisch gescheiden van andere klanten en opdrachtgevers van de Indiase entiteiten.</w:t>
      </w:r>
    </w:p>
    <w:p>
      <w:pPr>
        <w:pStyle w:val="Heading1"/>
        <w:keepNext/>
      </w:pPr>
      <w:r>
        <w:t>5. Versleuteling en gegevensoverdracht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Ondersteunde web- en API-verbindingen gebruiken gangbare TLS-versleuteling tijdens transport.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Databaseopslag is binnen de standaardinrichting versleuteld.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Wachtwoorden worden niet als leesbare tekst opgeslagen; authenticatiegegevens en geheimen worden passend beschermd.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Exports en overdrachten worden via afgesproken beveiligde kanalen verstrekt. De Klant beschermt gedownloade kopieën en eigen API-sleutels.</w:t>
      </w:r>
    </w:p>
    <w:p>
      <w:pPr>
        <w:pStyle w:val="Heading1"/>
        <w:keepNext/>
      </w:pPr>
      <w:r>
        <w:t>6. Omgevings- en klantscheiding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Ontwikkel-, staging/test- en productieomgevingen zijn logisch van elkaar gescheiden.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Voor ontwikkeling en testen wordt standaard synthetische of geanonimiseerde data gebruikt.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Echte productiegegevens worden alleen gebruikt wanneer dit noodzakelijk is, de Klant toestemming geeft en dezelfde beveiligingsmaatregelen als in productie gelden. Tijdelijke kopieën worden na gebruik verwijderd.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Multi-tenant omgevingen gebruiken logische scheiding tussen klanten. Een dedicated inrichting is mogelijk als de Offerte dit vermeldt.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Wijzigingen worden passend bij aard en risico getest voordat zij in productie worden genomen.</w:t>
      </w:r>
    </w:p>
    <w:p>
      <w:pPr>
        <w:pStyle w:val="Heading1"/>
        <w:keepNext/>
      </w:pPr>
      <w:r>
        <w:t>7. Logging, monitoring en kwetsbaarheden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Relevante login-, IP-, beheer-, systeem- en beveiligingsactiviteiten worden gelogd voor zover technisch beschikbaar en passend.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Technische beveiligings-, toegangs- en incidentlogs worden standaard maximaal twaalf maanden bewaard, met een noodzakelijke uitzondering voor incidentonderzoek, geschillen of wettelijke verplichtingen.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Control panels en monitoring worden intern door Brightness beheerd. Systemen worden operationeel gemonitord met signalering en alarmopvolging.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Technische scans worden uitgevoerd en relevante beveiligingsupdates worden volgens een vast, risicogebaseerd onderhoudsritme beoordeeld en toegepast.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Gepland onderhoud wordt waar mogelijk vooraf aangekondigd. Spoedonderhoud kan direct plaatsvinden om een risico te beperken.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Geen systeem kan volledige veiligheid garanderen; Brightness hanteert een risicogebaseerde verbetercyclus.</w:t>
      </w:r>
    </w:p>
    <w:p>
      <w:pPr>
        <w:pStyle w:val="Heading1"/>
        <w:keepNext/>
      </w:pPr>
      <w:r>
        <w:t>8. Back-up, herstel en verwijdering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Er worden meerdere typen back-ups gebruikt, waaronder snapshots en volledige back-ups, op aanvullende opslag en een andere server binnen de Nederlandse datacenteromgeving.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 standaard minimale bewaartermijn is zeven dagen, tenzij de Offerte of SLA een langere periode bepaalt.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Herstel vindt plaats vanaf de meest recente bruikbare back-up. RPO en RTO zijn alleen bindend als zij schriftelijk zijn ingevuld.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Back-ups dienen technisch herstel en vervangen geen zelfstandig archief of bewaarbeleid van de Klant.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Na beëindiging verdwijnen actieve persoonsgegevens uiterlijk binnen zestig dagen en alle back-upkopieën uiterlijk binnen negentig dagen, behoudens een wettelijke bewaarplicht.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Kopieën binnen hetzelfde datacenter beperken veel technische risico's, maar vormen geen volledige geografische calamiteitenvoorziening. Een aanvullende geografisch gescheiden back-up vereist een afzonderlijke afspraak.</w:t>
      </w:r>
    </w:p>
    <w:p>
      <w:pPr>
        <w:pStyle w:val="Heading1"/>
        <w:keepNext/>
      </w:pPr>
      <w:r>
        <w:t>9. Fysieke infrastructuur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 standaardhosting gebruikt gehuurde infrastructuur in Nederlandse datacenters in de regio Naaldwijk/Rotterdam.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Databases en gegevensoverdracht worden versleuteld. De datacenter- en infrastructuurleverancier heeft geen reguliere applicatieve of inhoudelijke toegang tot Klantdata.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Noodzakelijke fysieke, technische of noodtoegang wordt beperkt, gelogd en onder toepasselijke instructies, toestemming en vertrouwelijkheid uitgevoerd.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 identiteit en rol van de actuele datacenter- en infrastructuurleverancier staan in het Subverwerkersregister. Certificeringen en assurance-rapporten van die leverancier gelden uitsluitend voor diens eigen scope en niet als certificering van Brightness.</w:t>
      </w:r>
    </w:p>
    <w:p>
      <w:pPr>
        <w:pStyle w:val="Heading1"/>
        <w:keepNext/>
      </w:pPr>
      <w:r>
        <w:t>10. AI- en externe koppelingen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Bij een eigen klantaccount of eigen API-sleutel bepaalt en contracteert de Klant de externe leverancier en zijn regio-, bewaar- en trainingsinstellingen. Brightness is niet verantwoordelijk voor de verwerking door die leverancier, maar wel voor de beveiliging van haar eigen koppeling.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Bij een Brightness-account, -contract of -API-sleutel verzendt Brightness gegevens op instructie van de Klant. De externe leverancier wordt vóór activering als Subverwerker geregistreerd en geautoriseerd en toepasselijke doorgiftewaarborgen worden geregeld.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Waar beschikbaar gebruikt Brightness instellingen die invoer en uitvoer uitsluiten van algemene modeltraining en bewaartermijnen minimaliseren.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 Klant bepaalt welke gegevens, documenten en prompts worden verzonden en beperkt deze tot wat noodzakelijk is.</w:t>
      </w:r>
    </w:p>
    <w:p>
      <w:pPr>
        <w:pStyle w:val="Heading1"/>
        <w:keepNext/>
      </w:pPr>
      <w:r>
        <w:t>11. Incidentafhandeling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Incidenten worden geregistreerd, geclassificeerd en opgevolgd. Maatregelen kunnen isolatie, intrekken van toegang, blokkeren van koppelingen, herstel, loganalyse en extra monitoring omvatten.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Een inbreuk in verband met persoonsgegevens wordt zonder onredelijke vertraging gemeld; Brightness streeft naar een eerste melding binnen 24 uur na kennisneming.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Na een relevant incident worden oorzaak, effect en passende verbetermaatregelen beoordeeld. Informatie wordt verstrekt voor zover beveiliging, rechten van derden en onderzoek dit toelaten.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Incidentcontact: support@brightness-group.com en bij urgentie +31 23 557 4211.</w:t>
      </w:r>
    </w:p>
    <w:p>
      <w:pPr>
        <w:pStyle w:val="Heading1"/>
        <w:keepNext/>
      </w:pPr>
      <w:r>
        <w:t>12. Gedeelde verantwoordelijkheid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800"/>
        <w:gridCol w:w="3811"/>
      </w:tblGrid>
      <w:tr>
        <w:trPr>
          <w:tblHeader w:val="true"/>
        </w:trPr>
        <w:tc>
          <w:tcPr>
            <w:tcW w:type="dxa" w:w="18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Onderwerp</w:t>
            </w:r>
          </w:p>
        </w:tc>
        <w:tc>
          <w:tcPr>
            <w:tcW w:type="dxa" w:w="38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Brightness</w:t>
            </w:r>
          </w:p>
        </w:tc>
        <w:tc>
          <w:tcPr>
            <w:tcW w:type="dxa" w:w="381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Klant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Platform/infrastructuur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Technische werking, onderhoud, logging, monitoring en standaardbeveiliging.</w:t>
            </w:r>
          </w:p>
        </w:tc>
        <w:tc>
          <w:tcPr>
            <w:tcW w:type="dxa" w:w="38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Veilige inrichting kiezen en bijzondere eisen vooraf melden.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Accounts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Rollen, rechten en MFA-functionaliteit beschikbaar stellen; beheeraccounts beveiligen.</w:t>
            </w:r>
          </w:p>
        </w:tc>
        <w:tc>
          <w:tcPr>
            <w:tcW w:type="dxa" w:w="38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Eigen gebruikers beheren, passende MFA activeren en toegang intrekken.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Klantdata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Volgens instructie verwerken en binnen de Dienst beschermen.</w:t>
            </w:r>
          </w:p>
        </w:tc>
        <w:tc>
          <w:tcPr>
            <w:tcW w:type="dxa" w:w="38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Rechtmatigheid, inhoud, classificatie, ontvangers en bewaartermijnen.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Koppelingen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Eigen koppeling beveiligen; bij een Brightness-account, -contract of -API-sleutel de externe partij als Subverwerker toetsen, contracteren en registreren.</w:t>
            </w:r>
          </w:p>
        </w:tc>
        <w:tc>
          <w:tcPr>
            <w:tcW w:type="dxa" w:w="38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Activering, gegevensselectie, instructies en grondslag; bij een eigen account ook leverancierskeuze en contract.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Exports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Standaardexport veilig beschikbaar stellen.</w:t>
            </w:r>
          </w:p>
        </w:tc>
        <w:tc>
          <w:tcPr>
            <w:tcW w:type="dxa" w:w="38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Tijdig downloaden, controleren, beschermen en bewaren.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Eindapparaten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Alleen indien uitdrukkelijk in beheer genomen.</w:t>
            </w:r>
          </w:p>
        </w:tc>
        <w:tc>
          <w:tcPr>
            <w:tcW w:type="dxa" w:w="38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Beveiliging van browsers, apparaten, netwerken en lokale kopieën.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13. Bewijs en wijzigingen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Brightness verstrekt beschikbare informatie overeenkomstig de noodzakelijke auditregeling in de Verwerkersovereenkomst.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Niet in deze bijlage genoemde certificeringen, pentests, audits, RPO/RTO of controles worden niet geacht te zijn toegezegd.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Een schriftelijk overeengekomen hoger beveiligingsniveau gaat voor op deze standaardbijlage.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Verbeteringen mogen zonder voorafgaande toestemming worden ingevoerd; een wezenlijke verlaging wordt behandeld volgens de Verwerkersovereenkomst.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247" w:bottom="124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right"/>
    </w:pPr>
    <w:r>
      <w:rPr>
        <w:rFonts w:ascii="Calibri" w:hAnsi="Calibri"/>
        <w:color w:val="4B5563"/>
        <w:sz w:val="17"/>
      </w:rPr>
      <w:t xml:space="preserve">Beveiligingsbijlage Brightness  |  v2.0  |  pagina </w:t>
    </w:r>
    <w:r>
      <w:rPr>
        <w:rFonts w:ascii="Calibri" w:hAnsi="Calibri"/>
        <w:color w:val="4B5563"/>
        <w:sz w:val="17"/>
      </w:rPr>
      <w:fldChar w:fldCharType="begin"/>
      <w:instrText xml:space="preserve">PAGE</w:instrText>
      <w:fldChar w:fldCharType="end"/>
    </w:r>
    <w:r>
      <w:rPr>
        <w:rFonts w:ascii="Calibri" w:hAnsi="Calibri"/>
        <w:color w:val="4B5563"/>
        <w:sz w:val="17"/>
      </w:rPr>
      <w:t xml:space="preserve"> van </w:t>
    </w:r>
    <w:r>
      <w:rPr>
        <w:rFonts w:ascii="Calibri" w:hAnsi="Calibri"/>
        <w:color w:val="4B5563"/>
        <w:sz w:val="17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6" w:space="4" w:color="D9E1E7"/>
      </w:pBdr>
    </w:pPr>
    <w:r>
      <w:rPr>
        <w:rFonts w:ascii="Calibri" w:hAnsi="Calibri"/>
        <w:b/>
        <w:color w:val="176B87"/>
        <w:sz w:val="17"/>
      </w:rPr>
      <w:t>BRIGHTNESS  |  GEGEVENSBESCHERMING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76B8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64" w:lineRule="auto"/>
      <w:ind w:left="720" w:hanging="360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64" w:lineRule="auto"/>
      <w:ind w:left="720" w:hanging="360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Beveiligingsbijlage Brightness</dc:title>
  <dc:subject>AVG-verwerkersdocumentatie Brightness</dc:subject>
  <dc:creator>Brightness Group</dc:creator>
  <cp:keywords>AVG, verwerkersovereenkomst, Brightness, persoonsgegevens</cp:keywords>
  <dc:description>Definitief model v2.0</dc:description>
  <cp:lastModifiedBy>Brightness Group</cp:lastModifiedBy>
  <cp:revision>1</cp:revision>
  <dcterms:created xsi:type="dcterms:W3CDTF">2013-12-23T23:15:00Z</dcterms:created>
  <dcterms:modified xsi:type="dcterms:W3CDTF">2013-12-23T23:15:00Z</dcterms:modified>
  <cp:category/>
</cp:coreProperties>
</file>