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60"/>
      </w:pPr>
      <w:r>
        <w:rPr>
          <w:rFonts w:ascii="Calibri" w:hAnsi="Calibri"/>
          <w:b/>
          <w:color w:val="00A6C8"/>
          <w:sz w:val="18"/>
        </w:rPr>
        <w:t>WEBSITEGEBRUIK</w:t>
      </w:r>
    </w:p>
    <w:p>
      <w:pPr>
        <w:spacing w:after="100"/>
      </w:pPr>
      <w:r>
        <w:rPr>
          <w:rFonts w:ascii="Calibri" w:hAnsi="Calibri"/>
          <w:b/>
          <w:color w:val="17324D"/>
          <w:sz w:val="50"/>
        </w:rPr>
        <w:t>Websitevoorwaarden en Disclaimer</w:t>
      </w:r>
    </w:p>
    <w:p>
      <w:pPr>
        <w:spacing w:after="320"/>
      </w:pPr>
      <w:r>
        <w:rPr>
          <w:rFonts w:ascii="Calibri" w:hAnsi="Calibri"/>
          <w:color w:val="4B5563"/>
          <w:sz w:val="25"/>
        </w:rPr>
        <w:t>Gebruik van brightness-group.com, sparklecloud.ai en openbaar beschikbare Brightness-inhoud</w:t>
      </w:r>
    </w:p>
    <w:tbl>
      <w:tblPr>
        <w:tblStyle w:val="TableGrid"/>
        <w:tblW w:type="dxa" w:w="9411"/>
        <w:jc w:val="left"/>
        <w:tblLayout w:type="fixed"/>
        <w:tblLook w:firstColumn="1" w:firstRow="1" w:lastColumn="0" w:lastRow="0" w:noHBand="0" w:noVBand="1" w:val="04A0"/>
        <w:tblInd w:w="120" w:type="dxa"/>
      </w:tblPr>
      <w:tblGrid>
        <w:gridCol w:w="2100"/>
        <w:gridCol w:w="7311"/>
      </w:tblGrid>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Versie</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3.0</w:t>
            </w:r>
          </w:p>
        </w:tc>
      </w:tr>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Datum</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27 augustus 2026</w:t>
            </w:r>
          </w:p>
        </w:tc>
      </w:tr>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Contact</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support@brightness-group.com | +31 23 557 4211</w:t>
            </w:r>
          </w:p>
        </w:tc>
      </w:tr>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Status</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Informatieve websitevoorwaarden; niet de commerciële voorwaarden voor betaalde Diensten</w:t>
            </w:r>
          </w:p>
        </w:tc>
      </w:tr>
    </w:tbl>
    <w:p>
      <w:pPr>
        <w:spacing w:after="0"/>
      </w:pPr>
    </w:p>
    <w:tbl>
      <w:tblPr>
        <w:tblStyle w:val="TableGrid"/>
        <w:tblW w:type="dxa" w:w="9411"/>
        <w:jc w:val="left"/>
        <w:tblLayout w:type="fixed"/>
        <w:tblLook w:firstColumn="1" w:firstRow="1" w:lastColumn="0" w:lastRow="0" w:noHBand="0" w:noVBand="1" w:val="04A0"/>
        <w:tblInd w:w="120" w:type="dxa"/>
      </w:tblPr>
      <w:tblGrid>
        <w:gridCol w:w="9411"/>
      </w:tblGrid>
      <w:tr>
        <w:trPr>
          <w:cantSplit/>
        </w:trPr>
        <w:tc>
          <w:tcPr>
            <w:tcW w:type="dxa" w:w="9411"/>
            <w:shd w:fill="EAF4F7"/>
            <w:tcMar>
              <w:top w:w="90" w:type="dxa"/>
              <w:start w:w="120" w:type="dxa"/>
              <w:bottom w:w="90" w:type="dxa"/>
              <w:end w:w="120" w:type="dxa"/>
            </w:tcMar>
            <w:vAlign w:val="center"/>
          </w:tcPr>
          <w:p>
            <w:pPr>
              <w:spacing w:after="0"/>
            </w:pPr>
            <w:r>
              <w:rPr>
                <w:rFonts w:ascii="Calibri" w:hAnsi="Calibri"/>
                <w:b/>
                <w:color w:val="17324D"/>
                <w:sz w:val="19"/>
              </w:rPr>
              <w:t xml:space="preserve">Contractonderscheid: </w:t>
            </w:r>
            <w:r>
              <w:rPr>
                <w:rFonts w:ascii="Calibri" w:hAnsi="Calibri"/>
                <w:sz w:val="19"/>
              </w:rPr>
              <w:t>Deze websitevoorwaarden vervangen niet de Algemene B2B-voorwaarden, een Offerte, SLA of Verwerkersovereenkomst. Een dienstenovereenkomst ontstaat alleen op de wijze uit de toepasselijke offerte of bestelprocedure.</w:t>
            </w:r>
          </w:p>
        </w:tc>
      </w:tr>
    </w:tbl>
    <w:p>
      <w:pPr>
        <w:spacing w:after="0"/>
      </w:pPr>
    </w:p>
    <w:p>
      <w:pPr>
        <w:pStyle w:val="Heading1"/>
        <w:keepNext/>
      </w:pPr>
      <w:r>
        <w:t>1. Beheerders</w:t>
      </w:r>
    </w:p>
    <w:p>
      <w:pPr>
        <w:spacing w:after="120" w:line="264" w:lineRule="auto"/>
      </w:pPr>
      <w:r>
        <w:rPr>
          <w:rFonts w:ascii="Calibri" w:hAnsi="Calibri"/>
          <w:b/>
          <w:color w:val="17324D"/>
        </w:rPr>
        <w:t xml:space="preserve">1.1  </w:t>
      </w:r>
      <w:r>
        <w:rPr>
          <w:rFonts w:ascii="Calibri" w:hAnsi="Calibri"/>
        </w:rPr>
        <w:t>brightness-group.com wordt beheerd door Brightness ICT B.V., KvK 63772493. sparklecloud.ai wordt beheerd door Brightness Subscriptions B.V., KvK 81921985. Beide gebruiken Graftermeerstraat 22c, 2131 AC Hoofddorp, Nederland als vestigingsadres.</w:t>
      </w:r>
    </w:p>
    <w:p>
      <w:pPr>
        <w:spacing w:after="120" w:line="264" w:lineRule="auto"/>
      </w:pPr>
      <w:r>
        <w:rPr>
          <w:rFonts w:ascii="Calibri" w:hAnsi="Calibri"/>
          <w:b/>
          <w:color w:val="17324D"/>
        </w:rPr>
        <w:t xml:space="preserve">1.2  </w:t>
      </w:r>
      <w:r>
        <w:rPr>
          <w:rFonts w:ascii="Calibri" w:hAnsi="Calibri"/>
        </w:rPr>
        <w:t>Brightness Group B.V. is uitsluitend de holding/overkoepelende naam. Zij is niet de websitebeheerder, leverancier of garant enkel doordat de websites het merk Brightness gebruiken.</w:t>
      </w:r>
    </w:p>
    <w:p>
      <w:pPr>
        <w:spacing w:after="120" w:line="264" w:lineRule="auto"/>
      </w:pPr>
      <w:r>
        <w:rPr>
          <w:rFonts w:ascii="Calibri" w:hAnsi="Calibri"/>
          <w:b/>
          <w:color w:val="17324D"/>
        </w:rPr>
        <w:t xml:space="preserve">1.3  </w:t>
      </w:r>
      <w:r>
        <w:rPr>
          <w:rFonts w:ascii="Calibri" w:hAnsi="Calibri"/>
        </w:rPr>
        <w:t>Contact: support@brightness-group.com en +31 23 557 4211. De Juridische Entiteitsinformatie vermeldt de entiteit die bij iedere Dienst hoort.</w:t>
      </w:r>
    </w:p>
    <w:p>
      <w:pPr>
        <w:pStyle w:val="Heading1"/>
        <w:keepNext/>
      </w:pPr>
      <w:r>
        <w:t>2. Informatief doel</w:t>
      </w:r>
    </w:p>
    <w:p>
      <w:pPr>
        <w:spacing w:after="120" w:line="264" w:lineRule="auto"/>
      </w:pPr>
      <w:r>
        <w:rPr>
          <w:rFonts w:ascii="Calibri" w:hAnsi="Calibri"/>
          <w:b/>
          <w:color w:val="17324D"/>
        </w:rPr>
        <w:t xml:space="preserve">2.1  </w:t>
      </w:r>
      <w:r>
        <w:rPr>
          <w:rFonts w:ascii="Calibri" w:hAnsi="Calibri"/>
        </w:rPr>
        <w:t>Website-inhoud wordt voor algemene zakelijke informatie aangeboden. Zij is geen juridisch, fiscaal, beveiligings-, financieel of ander professioneel advies en mag niet als zodanig worden gebruikt.</w:t>
      </w:r>
    </w:p>
    <w:p>
      <w:pPr>
        <w:spacing w:after="120" w:line="264" w:lineRule="auto"/>
      </w:pPr>
      <w:r>
        <w:rPr>
          <w:rFonts w:ascii="Calibri" w:hAnsi="Calibri"/>
          <w:b/>
          <w:color w:val="17324D"/>
        </w:rPr>
        <w:t xml:space="preserve">2.2  </w:t>
      </w:r>
      <w:r>
        <w:rPr>
          <w:rFonts w:ascii="Calibri" w:hAnsi="Calibri"/>
        </w:rPr>
        <w:t>Productbeschrijvingen, demonstraties, voorbeelden, roadmaps, beschikbaarheidsuitspraken en prijsindicaties zijn niet bindend, tenzij opgenomen in een aanvaarde Offerte.</w:t>
      </w:r>
    </w:p>
    <w:p>
      <w:pPr>
        <w:spacing w:after="120" w:line="264" w:lineRule="auto"/>
      </w:pPr>
      <w:r>
        <w:rPr>
          <w:rFonts w:ascii="Calibri" w:hAnsi="Calibri"/>
          <w:b/>
          <w:color w:val="17324D"/>
        </w:rPr>
        <w:t xml:space="preserve">2.3  </w:t>
      </w:r>
      <w:r>
        <w:rPr>
          <w:rFonts w:ascii="Calibri" w:hAnsi="Calibri"/>
        </w:rPr>
        <w:t>Het insturen van een formulier of aanvragen van een gesprek verplicht geen van partijen tot een overeenkomst.</w:t>
      </w:r>
    </w:p>
    <w:p>
      <w:pPr>
        <w:pStyle w:val="Heading1"/>
        <w:keepNext/>
      </w:pPr>
      <w:r>
        <w:t>3. Beschikbaarheid en juistheid</w:t>
      </w:r>
    </w:p>
    <w:p>
      <w:pPr>
        <w:spacing w:after="120" w:line="264" w:lineRule="auto"/>
      </w:pPr>
      <w:r>
        <w:rPr>
          <w:rFonts w:ascii="Calibri" w:hAnsi="Calibri"/>
          <w:b/>
          <w:color w:val="17324D"/>
        </w:rPr>
        <w:t xml:space="preserve">3.1  </w:t>
      </w:r>
      <w:r>
        <w:rPr>
          <w:rFonts w:ascii="Calibri" w:hAnsi="Calibri"/>
        </w:rPr>
        <w:t>De beheerders streven naar juiste inhoud en beschikbare websites, maar garanderen geen voortdurende beschikbaarheid, volledigheid, foutloosheid of actualiteit van alle informatie.</w:t>
      </w:r>
    </w:p>
    <w:p>
      <w:pPr>
        <w:spacing w:after="120" w:line="264" w:lineRule="auto"/>
      </w:pPr>
      <w:r>
        <w:rPr>
          <w:rFonts w:ascii="Calibri" w:hAnsi="Calibri"/>
          <w:b/>
          <w:color w:val="17324D"/>
        </w:rPr>
        <w:t xml:space="preserve">3.2  </w:t>
      </w:r>
      <w:r>
        <w:rPr>
          <w:rFonts w:ascii="Calibri" w:hAnsi="Calibri"/>
        </w:rPr>
        <w:t>De beheerders mogen website-inhoud of functies zonder voorafgaande melding wijzigen, opschorten of verwijderen waar redelijk nodig voor onderhoud, beveiliging, wetgeving of bedrijfsvoering.</w:t>
      </w:r>
    </w:p>
    <w:p>
      <w:pPr>
        <w:spacing w:after="120" w:line="264" w:lineRule="auto"/>
      </w:pPr>
      <w:r>
        <w:rPr>
          <w:rFonts w:ascii="Calibri" w:hAnsi="Calibri"/>
          <w:b/>
          <w:color w:val="17324D"/>
        </w:rPr>
        <w:t xml:space="preserve">3.3  </w:t>
      </w:r>
      <w:r>
        <w:rPr>
          <w:rFonts w:ascii="Calibri" w:hAnsi="Calibri"/>
        </w:rPr>
        <w:t>Gebruikers controleren belangrijke informatie in een Offerte of rechtstreeks bij de relevante Contracterende Entiteit voordat zij daarop handelen.</w:t>
      </w:r>
    </w:p>
    <w:p>
      <w:pPr>
        <w:pStyle w:val="Heading1"/>
        <w:keepNext/>
      </w:pPr>
      <w:r>
        <w:t>4. Toegestaan gebruik</w:t>
      </w:r>
    </w:p>
    <w:p>
      <w:pPr>
        <w:spacing w:after="120" w:line="264" w:lineRule="auto"/>
      </w:pPr>
      <w:r>
        <w:rPr>
          <w:rFonts w:ascii="Calibri" w:hAnsi="Calibri"/>
          <w:b/>
          <w:color w:val="17324D"/>
        </w:rPr>
        <w:t xml:space="preserve">4.1  </w:t>
      </w:r>
      <w:r>
        <w:rPr>
          <w:rFonts w:ascii="Calibri" w:hAnsi="Calibri"/>
        </w:rPr>
        <w:t>U mag openbare pagina's bekijken, downloaden en afdrukken voor interne zakelijke beoordeling en eerlijke links plaatsen die geen goedkeuring suggereren.</w:t>
      </w:r>
    </w:p>
    <w:p>
      <w:pPr>
        <w:spacing w:after="120" w:line="264" w:lineRule="auto"/>
      </w:pPr>
      <w:r>
        <w:rPr>
          <w:rFonts w:ascii="Calibri" w:hAnsi="Calibri"/>
          <w:b/>
          <w:color w:val="17324D"/>
        </w:rPr>
        <w:t xml:space="preserve">4.2  </w:t>
      </w:r>
      <w:r>
        <w:rPr>
          <w:rFonts w:ascii="Calibri" w:hAnsi="Calibri"/>
        </w:rPr>
        <w:t>U mag niet op verstorende schaal scrapen, beveiliging omzeilen, kwetsbaarheden testen, schadelijke code plaatsen, anderen nabootsen, werking verstoren, de websites onrechtmatig gebruiken of wezenlijke inhoud zonder toestemming commercieel herpubliceren.</w:t>
      </w:r>
    </w:p>
    <w:p>
      <w:pPr>
        <w:spacing w:after="120" w:line="264" w:lineRule="auto"/>
      </w:pPr>
      <w:r>
        <w:rPr>
          <w:rFonts w:ascii="Calibri" w:hAnsi="Calibri"/>
          <w:b/>
          <w:color w:val="17324D"/>
        </w:rPr>
        <w:t xml:space="preserve">4.3  </w:t>
      </w:r>
      <w:r>
        <w:rPr>
          <w:rFonts w:ascii="Calibri" w:hAnsi="Calibri"/>
        </w:rPr>
        <w:t>Beveiligingsonderzoek of penetratietesten vereist voorafgaande schriftelijke toestemming en afgesproken scope. Verantwoorde kwetsbaarheidsmeldingen kunnen naar support@brightness-group.com.</w:t>
      </w:r>
    </w:p>
    <w:p>
      <w:pPr>
        <w:pStyle w:val="Heading1"/>
        <w:keepNext/>
      </w:pPr>
      <w:r>
        <w:t>5. Intellectuele eigendom</w:t>
      </w:r>
    </w:p>
    <w:p>
      <w:pPr>
        <w:spacing w:after="120" w:line="264" w:lineRule="auto"/>
      </w:pPr>
      <w:r>
        <w:rPr>
          <w:rFonts w:ascii="Calibri" w:hAnsi="Calibri"/>
          <w:b/>
          <w:color w:val="17324D"/>
        </w:rPr>
        <w:t xml:space="preserve">5.1  </w:t>
      </w:r>
      <w:r>
        <w:rPr>
          <w:rFonts w:ascii="Calibri" w:hAnsi="Calibri"/>
        </w:rPr>
        <w:t>Website-inhoud, software, ontwerpen, teksten, merken, afbeeldingen en databanken zijn beschermd door intellectuele eigendomsrechten van de relevante Brightness-entiteit of licentiegever.</w:t>
      </w:r>
    </w:p>
    <w:p>
      <w:pPr>
        <w:spacing w:after="120" w:line="264" w:lineRule="auto"/>
      </w:pPr>
      <w:r>
        <w:rPr>
          <w:rFonts w:ascii="Calibri" w:hAnsi="Calibri"/>
          <w:b/>
          <w:color w:val="17324D"/>
        </w:rPr>
        <w:t xml:space="preserve">5.2  </w:t>
      </w:r>
      <w:r>
        <w:rPr>
          <w:rFonts w:ascii="Calibri" w:hAnsi="Calibri"/>
        </w:rPr>
        <w:t>Er wordt geen licentie verleend behalve het beperkte gebruiksrecht op openbare inhoud zoals hierboven. Brightness- en SparkleCloud-namen en logo's mogen zonder toestemming niet worden gebruikt om verbondenheid, goedkeuring of herkomst te suggereren.</w:t>
      </w:r>
    </w:p>
    <w:p>
      <w:pPr>
        <w:spacing w:after="120" w:line="264" w:lineRule="auto"/>
      </w:pPr>
      <w:r>
        <w:rPr>
          <w:rFonts w:ascii="Calibri" w:hAnsi="Calibri"/>
          <w:b/>
          <w:color w:val="17324D"/>
        </w:rPr>
        <w:t xml:space="preserve">5.3  </w:t>
      </w:r>
      <w:r>
        <w:rPr>
          <w:rFonts w:ascii="Calibri" w:hAnsi="Calibri"/>
        </w:rPr>
        <w:t>SparkleCloud en de rechten op het standaardplatform behoren toe aan Brightness Subscriptions B.V., tenzij uitdrukkelijk anders overeengekomen.</w:t>
      </w:r>
    </w:p>
    <w:p>
      <w:pPr>
        <w:pStyle w:val="Heading1"/>
        <w:keepNext/>
      </w:pPr>
      <w:r>
        <w:t>6. Externe links en diensten</w:t>
      </w:r>
    </w:p>
    <w:p>
      <w:pPr>
        <w:spacing w:after="120" w:line="264" w:lineRule="auto"/>
      </w:pPr>
      <w:r>
        <w:rPr>
          <w:rFonts w:ascii="Calibri" w:hAnsi="Calibri"/>
          <w:b/>
          <w:color w:val="17324D"/>
        </w:rPr>
        <w:t xml:space="preserve">6.1  </w:t>
      </w:r>
      <w:r>
        <w:rPr>
          <w:rFonts w:ascii="Calibri" w:hAnsi="Calibri"/>
        </w:rPr>
        <w:t>Links, embeds en koppelingen kunnen naar zelfstandige derden leiden. Een link betekent niet dat Brightness hun inhoud, beschikbaarheid, beveiliging of privacypraktijk beheert of goedkeurt.</w:t>
      </w:r>
    </w:p>
    <w:p>
      <w:pPr>
        <w:spacing w:after="120" w:line="264" w:lineRule="auto"/>
      </w:pPr>
      <w:r>
        <w:rPr>
          <w:rFonts w:ascii="Calibri" w:hAnsi="Calibri"/>
          <w:b/>
          <w:color w:val="17324D"/>
        </w:rPr>
        <w:t xml:space="preserve">6.2  </w:t>
      </w:r>
      <w:r>
        <w:rPr>
          <w:rFonts w:ascii="Calibri" w:hAnsi="Calibri"/>
        </w:rPr>
        <w:t>Wanneer u bewust WhatsApp, video, kaarten, reviews, planning, chat of een andere derde-functie activeert, kan die provider gegevens ontvangen onder eigen voorwaarden en privacyverklaring.</w:t>
      </w:r>
    </w:p>
    <w:p>
      <w:pPr>
        <w:pStyle w:val="Heading1"/>
        <w:keepNext/>
      </w:pPr>
      <w:r>
        <w:t>7. Formulieren en communicatie</w:t>
      </w:r>
    </w:p>
    <w:p>
      <w:pPr>
        <w:spacing w:after="120" w:line="264" w:lineRule="auto"/>
      </w:pPr>
      <w:r>
        <w:rPr>
          <w:rFonts w:ascii="Calibri" w:hAnsi="Calibri"/>
          <w:b/>
          <w:color w:val="17324D"/>
        </w:rPr>
        <w:t xml:space="preserve">7.1  </w:t>
      </w:r>
      <w:r>
        <w:rPr>
          <w:rFonts w:ascii="Calibri" w:hAnsi="Calibri"/>
        </w:rPr>
        <w:t>U verstrekt juiste zakelijke informatie, bent bevoegd deze in te sturen en plaatst geen onnodige gevoelige, bijzondere of vertrouwelijke gegevens van derden in een openbaar websiteformulier.</w:t>
      </w:r>
    </w:p>
    <w:p>
      <w:pPr>
        <w:spacing w:after="120" w:line="264" w:lineRule="auto"/>
      </w:pPr>
      <w:r>
        <w:rPr>
          <w:rFonts w:ascii="Calibri" w:hAnsi="Calibri"/>
          <w:b/>
          <w:color w:val="17324D"/>
        </w:rPr>
        <w:t xml:space="preserve">7.2  </w:t>
      </w:r>
      <w:r>
        <w:rPr>
          <w:rFonts w:ascii="Calibri" w:hAnsi="Calibri"/>
        </w:rPr>
        <w:t>Website-inzendingen worden verwerkt volgens de Brightness Privacyverklaring. Marketingmail wordt alleen verstuurd na afzonderlijke toestemming.</w:t>
      </w:r>
    </w:p>
    <w:p>
      <w:pPr>
        <w:pStyle w:val="Heading1"/>
        <w:keepNext/>
      </w:pPr>
      <w:r>
        <w:t>8. Disclaimer en aansprakelijkheid</w:t>
      </w:r>
    </w:p>
    <w:p>
      <w:pPr>
        <w:spacing w:after="120" w:line="264" w:lineRule="auto"/>
      </w:pPr>
      <w:r>
        <w:rPr>
          <w:rFonts w:ascii="Calibri" w:hAnsi="Calibri"/>
          <w:b/>
          <w:color w:val="17324D"/>
        </w:rPr>
        <w:t xml:space="preserve">8.1  </w:t>
      </w:r>
      <w:r>
        <w:rPr>
          <w:rFonts w:ascii="Calibri" w:hAnsi="Calibri"/>
        </w:rPr>
        <w:t>Voor zover wettelijk toegestaan zijn de websitebeheerders niet aansprakelijk voor indirecte of gevolgschade, gederfde winst, bedrijfsstagnatie of beslissingen die uitsluitend op gratis openbare website-informatie zijn gebaseerd.</w:t>
      </w:r>
    </w:p>
    <w:p>
      <w:pPr>
        <w:spacing w:after="120" w:line="264" w:lineRule="auto"/>
      </w:pPr>
      <w:r>
        <w:rPr>
          <w:rFonts w:ascii="Calibri" w:hAnsi="Calibri"/>
          <w:b/>
          <w:color w:val="17324D"/>
        </w:rPr>
        <w:t xml:space="preserve">8.2  </w:t>
      </w:r>
      <w:r>
        <w:rPr>
          <w:rFonts w:ascii="Calibri" w:hAnsi="Calibri"/>
        </w:rPr>
        <w:t>Eventuele aansprakelijkheid voor directe schade door een toerekenbare websitefout is beperkt tot EUR 1.000 per gebeurtenis en gezamenlijk per kalenderjaar, tenzij een andere bindende overeenkomst geldt.</w:t>
      </w:r>
    </w:p>
    <w:p>
      <w:pPr>
        <w:spacing w:after="120" w:line="264" w:lineRule="auto"/>
      </w:pPr>
      <w:r>
        <w:rPr>
          <w:rFonts w:ascii="Calibri" w:hAnsi="Calibri"/>
          <w:b/>
          <w:color w:val="17324D"/>
        </w:rPr>
        <w:t xml:space="preserve">8.3  </w:t>
      </w:r>
      <w:r>
        <w:rPr>
          <w:rFonts w:ascii="Calibri" w:hAnsi="Calibri"/>
        </w:rPr>
        <w:t>Geen beperking geldt bij opzet of bewuste roekeloosheid van de leiding van de verantwoordelijke beheerder, overlijden of letsel door nalatigheid waar beperking verboden is, fraude of aansprakelijkheid die wettelijk niet mag worden beperkt.</w:t>
      </w:r>
    </w:p>
    <w:p>
      <w:pPr>
        <w:spacing w:after="120" w:line="264" w:lineRule="auto"/>
      </w:pPr>
      <w:r>
        <w:rPr>
          <w:rFonts w:ascii="Calibri" w:hAnsi="Calibri"/>
          <w:b/>
          <w:color w:val="17324D"/>
        </w:rPr>
        <w:t xml:space="preserve">8.4  </w:t>
      </w:r>
      <w:r>
        <w:rPr>
          <w:rFonts w:ascii="Calibri" w:hAnsi="Calibri"/>
        </w:rPr>
        <w:t>Een website die door één Brightness-entiteit wordt beheerd schept geen aansprakelijkheid voor een andere groepsentiteit. Iedere entiteit blijft verantwoordelijk voor eigen handelen en verplichtingen.</w:t>
      </w:r>
    </w:p>
    <w:p>
      <w:pPr>
        <w:pStyle w:val="Heading1"/>
        <w:keepNext/>
      </w:pPr>
      <w:r>
        <w:t>9. Privacy en cookies</w:t>
      </w:r>
    </w:p>
    <w:p>
      <w:pPr>
        <w:spacing w:after="120" w:line="264" w:lineRule="auto"/>
      </w:pPr>
      <w:r>
        <w:rPr>
          <w:rFonts w:ascii="Calibri" w:hAnsi="Calibri"/>
          <w:b/>
          <w:color w:val="17324D"/>
        </w:rPr>
        <w:t xml:space="preserve">9.1  </w:t>
      </w:r>
      <w:r>
        <w:rPr>
          <w:rFonts w:ascii="Calibri" w:hAnsi="Calibri"/>
        </w:rPr>
        <w:t>De Brightness Privacyverklaring legt verwerking van persoonsgegevens uit. De Cookieverklaring en het voorkeurencentrum leggen websitetechnologie uit en beheren deze.</w:t>
      </w:r>
    </w:p>
    <w:p>
      <w:pPr>
        <w:spacing w:after="120" w:line="264" w:lineRule="auto"/>
      </w:pPr>
      <w:r>
        <w:rPr>
          <w:rFonts w:ascii="Calibri" w:hAnsi="Calibri"/>
          <w:b/>
          <w:color w:val="17324D"/>
        </w:rPr>
        <w:t xml:space="preserve">9.2  </w:t>
      </w:r>
      <w:r>
        <w:rPr>
          <w:rFonts w:ascii="Calibri" w:hAnsi="Calibri"/>
        </w:rPr>
        <w:t>Aanvaarding van deze websitevoorwaarden is geen toestemming voor optionele cookies of marketing. Die keuzes worden afzonderlijk gevraagd.</w:t>
      </w:r>
    </w:p>
    <w:p>
      <w:pPr>
        <w:pStyle w:val="Heading1"/>
        <w:keepNext/>
      </w:pPr>
      <w:r>
        <w:t>10. Recht en wijzigingen</w:t>
      </w:r>
    </w:p>
    <w:p>
      <w:pPr>
        <w:spacing w:after="120" w:line="264" w:lineRule="auto"/>
      </w:pPr>
      <w:r>
        <w:rPr>
          <w:rFonts w:ascii="Calibri" w:hAnsi="Calibri"/>
          <w:b/>
          <w:color w:val="17324D"/>
        </w:rPr>
        <w:t xml:space="preserve">10.1  </w:t>
      </w:r>
      <w:r>
        <w:rPr>
          <w:rFonts w:ascii="Calibri" w:hAnsi="Calibri"/>
        </w:rPr>
        <w:t>Op websitegebruik is Nederlands recht van toepassing. De bevoegde rechter van de rechtbank Noord-Holland is bevoegd, behoudens dwingend recht.</w:t>
      </w:r>
    </w:p>
    <w:p>
      <w:pPr>
        <w:spacing w:after="120" w:line="264" w:lineRule="auto"/>
      </w:pPr>
      <w:r>
        <w:rPr>
          <w:rFonts w:ascii="Calibri" w:hAnsi="Calibri"/>
          <w:b/>
          <w:color w:val="17324D"/>
        </w:rPr>
        <w:t xml:space="preserve">10.2  </w:t>
      </w:r>
      <w:r>
        <w:rPr>
          <w:rFonts w:ascii="Calibri" w:hAnsi="Calibri"/>
        </w:rPr>
        <w:t>De beheerders mogen deze voorwaarden wijzigen. De actuele versie en datum staan op de juridische pagina. Materiële wijzigingen worden waar passend uitgelicht.</w:t>
      </w:r>
    </w:p>
    <w:sectPr w:rsidR="00FC693F" w:rsidRPr="0006063C" w:rsidSect="00034616">
      <w:headerReference w:type="default" r:id="rId9"/>
      <w:footerReference w:type="default" r:id="rId10"/>
      <w:headerReference w:type="even" r:id="rId11"/>
      <w:footerReference w:type="even" r:id="rId12"/>
      <w:pgSz w:w="11906" w:h="16838"/>
      <w:pgMar w:top="1247" w:right="1247" w:bottom="1247" w:left="124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4B5563"/>
        <w:sz w:val="17"/>
      </w:rPr>
      <w:t xml:space="preserve">Websitevoorwaarden en Disclaimer  |  v3.0  |  pagina </w:t>
    </w:r>
    <w:r>
      <w:rPr>
        <w:rFonts w:ascii="Calibri" w:hAnsi="Calibri"/>
        <w:color w:val="4B5563"/>
        <w:sz w:val="17"/>
      </w:rPr>
      <w:fldChar w:fldCharType="begin"/>
      <w:instrText xml:space="preserve">PAGE</w:instrText>
      <w:fldChar w:fldCharType="end"/>
    </w:r>
    <w:r>
      <w:rPr>
        <w:rFonts w:ascii="Calibri" w:hAnsi="Calibri"/>
        <w:color w:val="4B5563"/>
        <w:sz w:val="17"/>
      </w:rPr>
      <w:t xml:space="preserve"> van </w:t>
    </w:r>
    <w:r>
      <w:rPr>
        <w:rFonts w:ascii="Calibri" w:hAnsi="Calibri"/>
        <w:color w:val="4B5563"/>
        <w:sz w:val="17"/>
      </w:rPr>
      <w:fldChar w:fldCharType="begin"/>
      <w:instrText xml:space="preserve">NUMPAGES</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4B5563"/>
        <w:sz w:val="17"/>
      </w:rPr>
      <w:t xml:space="preserve">Websitevoorwaarden en Disclaimer  |  v3.0  |  pagina </w:t>
    </w:r>
    <w:r>
      <w:rPr>
        <w:rFonts w:ascii="Calibri" w:hAnsi="Calibri"/>
        <w:color w:val="4B5563"/>
        <w:sz w:val="17"/>
      </w:rPr>
      <w:fldChar w:fldCharType="begin"/>
      <w:instrText xml:space="preserve">PAGE</w:instrText>
      <w:fldChar w:fldCharType="end"/>
    </w:r>
    <w:r>
      <w:rPr>
        <w:rFonts w:ascii="Calibri" w:hAnsi="Calibri"/>
        <w:color w:val="4B5563"/>
        <w:sz w:val="17"/>
      </w:rPr>
      <w:t xml:space="preserve"> van </w:t>
    </w:r>
    <w:r>
      <w:rPr>
        <w:rFonts w:ascii="Calibri" w:hAnsi="Calibri"/>
        <w:color w:val="4B5563"/>
        <w:sz w:val="17"/>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4" w:color="D9E1E7"/>
      </w:pBdr>
    </w:pPr>
    <w:r>
      <w:rPr>
        <w:rFonts w:ascii="Calibri" w:hAnsi="Calibri"/>
        <w:b/>
        <w:color w:val="176B87"/>
        <w:sz w:val="17"/>
      </w:rPr>
      <w:t>BRIGHTNESS  |  JURIDISCH</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4" w:color="D9E1E7"/>
      </w:pBdr>
    </w:pPr>
    <w:r>
      <w:rPr>
        <w:rFonts w:ascii="Calibri" w:hAnsi="Calibri"/>
        <w:b/>
        <w:color w:val="176B87"/>
        <w:sz w:val="17"/>
      </w:rPr>
      <w:t>BRIGHTNESS  |  JURIDISCH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118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324D"/>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76B87"/>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64" w:lineRule="auto"/>
      <w:ind w:left="720" w:hanging="360"/>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64" w:lineRule="auto"/>
      <w:ind w:left="720" w:hanging="360"/>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Websitevoorwaarden en Disclaimer</dc:title>
  <dc:subject>Brightness legal and privacy documentation</dc:subject>
  <dc:creator>Brightness</dc:creator>
  <cp:keywords>Brightness, legal, privacy, GDPR, SaaS, software</cp:keywords>
  <dc:description>Controlled model v3.0</dc:description>
  <cp:lastModifiedBy>Brightness</cp:lastModifiedBy>
  <cp:revision>1</cp:revision>
  <dcterms:created xsi:type="dcterms:W3CDTF">2013-12-23T23:15:00Z</dcterms:created>
  <dcterms:modified xsi:type="dcterms:W3CDTF">2013-12-23T23:15:00Z</dcterms:modified>
  <cp:category/>
</cp:coreProperties>
</file>